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07111" w:rsidRDefault="00864610" w:rsidP="00864610">
      <w:pPr>
        <w:pStyle w:val="Heading1"/>
      </w:pPr>
      <w:bookmarkStart w:id="0" w:name="_GoBack"/>
      <w:bookmarkEnd w:id="0"/>
      <w:r>
        <w:t>3. PAVEMENT MATERIALS</w:t>
      </w:r>
    </w:p>
    <w:p w:rsidR="00864610" w:rsidRPr="00BC0398" w:rsidRDefault="00864610" w:rsidP="00807111"/>
    <w:p w:rsidR="00270505" w:rsidRDefault="00270505" w:rsidP="00270505">
      <w:r>
        <w:t xml:space="preserve">Materials play an </w:t>
      </w:r>
      <w:r w:rsidR="00E64EFB">
        <w:t xml:space="preserve">important </w:t>
      </w:r>
      <w:r>
        <w:t xml:space="preserve">role in the performance of pavement structures.  </w:t>
      </w:r>
      <w:r w:rsidR="00E64EFB">
        <w:t>U</w:t>
      </w:r>
      <w:r>
        <w:t xml:space="preserve">nderstanding of material properties and behavior is essential for understanding pavement structures, behavior, and performance.  </w:t>
      </w:r>
      <w:r w:rsidR="00583AC9">
        <w:t>This section provides a summary of the important physical and engineering properties of soils and aggregates, and binder types, additives, mix types, and mix design for both asphalt and concrete pavements.</w:t>
      </w:r>
    </w:p>
    <w:p w:rsidR="003879F3" w:rsidRPr="00807111" w:rsidRDefault="003879F3" w:rsidP="00807111"/>
    <w:p w:rsidR="007E4D1D" w:rsidRDefault="007E4D1D" w:rsidP="00807111">
      <w:pPr>
        <w:pStyle w:val="Heading2"/>
      </w:pPr>
      <w:bookmarkStart w:id="1" w:name="_Toc295918600"/>
      <w:r w:rsidRPr="004276E0">
        <w:t xml:space="preserve">Soil and </w:t>
      </w:r>
      <w:r>
        <w:t>A</w:t>
      </w:r>
      <w:r w:rsidRPr="004276E0">
        <w:t>ggregate</w:t>
      </w:r>
      <w:bookmarkEnd w:id="1"/>
    </w:p>
    <w:p w:rsidR="007E4D1D" w:rsidRDefault="00513D8A" w:rsidP="008744F9">
      <w:r>
        <w:t>S</w:t>
      </w:r>
      <w:r w:rsidR="007E4D1D">
        <w:t xml:space="preserve">oil, commonly referred to as the roadbed or subgrade, is the natural material upon which the pavement is constructed.  Often, the less desirable surface soil is removed and the newly exposed underlying soil reworked and compacted.  If the soil possesses less than ideal characteristics, it may be stabilized through the use of various </w:t>
      </w:r>
      <w:r w:rsidR="00A273A7" w:rsidRPr="00A273A7">
        <w:rPr>
          <w:color w:val="FF0000"/>
        </w:rPr>
        <w:t>materials or products</w:t>
      </w:r>
      <w:r w:rsidR="007E4D1D">
        <w:t xml:space="preserve"> or mechanical means.  Aggregates are the stones and sand from which the layers constructed on the prepared subgrade are principally composed, including the subbase, base, and surface.  Aggregates are commonly mined from natural sources, but also might be manufactured from industrial byproducts or recycled materials.</w:t>
      </w:r>
    </w:p>
    <w:p w:rsidR="008744F9" w:rsidRPr="004276E0" w:rsidRDefault="008744F9" w:rsidP="008744F9"/>
    <w:p w:rsidR="007E4D1D" w:rsidRDefault="007E4D1D" w:rsidP="00303D1E">
      <w:pPr>
        <w:pStyle w:val="Heading3"/>
      </w:pPr>
      <w:bookmarkStart w:id="2" w:name="_Toc295918601"/>
      <w:r>
        <w:t xml:space="preserve">Important </w:t>
      </w:r>
      <w:r w:rsidR="00303D1E">
        <w:t>P</w:t>
      </w:r>
      <w:r>
        <w:t xml:space="preserve">hysical and </w:t>
      </w:r>
      <w:r w:rsidR="00303D1E">
        <w:t>E</w:t>
      </w:r>
      <w:r>
        <w:t xml:space="preserve">ngineering </w:t>
      </w:r>
      <w:r w:rsidR="00303D1E">
        <w:t>P</w:t>
      </w:r>
      <w:r>
        <w:t>roperties</w:t>
      </w:r>
      <w:bookmarkEnd w:id="2"/>
    </w:p>
    <w:p w:rsidR="007E4D1D" w:rsidRDefault="007E4D1D" w:rsidP="008744F9">
      <w:r w:rsidRPr="008A10DC">
        <w:t>The</w:t>
      </w:r>
      <w:r>
        <w:t xml:space="preserve"> important physical and </w:t>
      </w:r>
      <w:r w:rsidRPr="008A10DC">
        <w:t xml:space="preserve">engineering properties of soils </w:t>
      </w:r>
      <w:r>
        <w:t xml:space="preserve">and aggregates </w:t>
      </w:r>
      <w:r w:rsidRPr="008A10DC">
        <w:t>used in pavement con</w:t>
      </w:r>
      <w:r>
        <w:t>struction include:</w:t>
      </w:r>
    </w:p>
    <w:p w:rsidR="00303D1E" w:rsidRPr="008A10DC" w:rsidRDefault="00303D1E" w:rsidP="00303D1E"/>
    <w:p w:rsidR="007E4D1D" w:rsidRDefault="00F95198" w:rsidP="00303D1E">
      <w:pPr>
        <w:pStyle w:val="Heading4"/>
      </w:pPr>
      <w:bookmarkStart w:id="3" w:name="_Toc295918602"/>
      <w:r>
        <w:t>Gradation</w:t>
      </w:r>
      <w:bookmarkEnd w:id="3"/>
    </w:p>
    <w:p w:rsidR="007E4D1D" w:rsidRDefault="007E4D1D" w:rsidP="00303D1E">
      <w:r>
        <w:t xml:space="preserve">The most basic property of a soil or aggregate is its gradation.  The </w:t>
      </w:r>
      <w:r w:rsidR="00F95198">
        <w:t>gradation</w:t>
      </w:r>
      <w:r>
        <w:t xml:space="preserve"> has a significant impact on the engineering properties of a soil and aggregate and thus is specified for almost all applications.  The size of the particles influences strength, stiffness, cohesiveness, moisture-density relationship, and the potential for frost heave.  It also has a large impact on the suitability of aggregates being evaluated for use in </w:t>
      </w:r>
      <w:r w:rsidR="00B55EC9">
        <w:t>concrete</w:t>
      </w:r>
      <w:r>
        <w:t xml:space="preserve"> and asphalt mixtures.</w:t>
      </w:r>
    </w:p>
    <w:p w:rsidR="007E4D1D" w:rsidRDefault="007E4D1D" w:rsidP="00303D1E"/>
    <w:p w:rsidR="003704E4" w:rsidRDefault="007E4D1D" w:rsidP="00303D1E">
      <w:r>
        <w:t xml:space="preserve">The </w:t>
      </w:r>
      <w:r w:rsidR="00F95198">
        <w:t>gradation</w:t>
      </w:r>
      <w:r>
        <w:t xml:space="preserve"> of a soil is described in AASHTO T 88, </w:t>
      </w:r>
      <w:r>
        <w:rPr>
          <w:i/>
        </w:rPr>
        <w:t>Standard Method of Test for Particle Size Analysis of Soils</w:t>
      </w:r>
      <w:r>
        <w:t xml:space="preserve">.  The method includes 1) a sieve analysis for the fraction of the soil retained on the No. 10 sieve, 2) a hydrometer test on the material passing the No. 10 sieve, and </w:t>
      </w:r>
      <w:r w:rsidR="003644D1">
        <w:t xml:space="preserve">3) </w:t>
      </w:r>
      <w:r>
        <w:t>a sieve analysis</w:t>
      </w:r>
      <w:r w:rsidR="003644D1">
        <w:t xml:space="preserve"> (</w:t>
      </w:r>
      <w:r w:rsidR="00E634C4">
        <w:t xml:space="preserve">sieve </w:t>
      </w:r>
      <w:r w:rsidR="003644D1">
        <w:t>No</w:t>
      </w:r>
      <w:r w:rsidR="00E634C4">
        <w:t>s</w:t>
      </w:r>
      <w:r w:rsidR="003644D1">
        <w:t xml:space="preserve">. </w:t>
      </w:r>
      <w:r w:rsidR="00E13055">
        <w:t xml:space="preserve">200 </w:t>
      </w:r>
      <w:r w:rsidR="00E634C4">
        <w:t>through</w:t>
      </w:r>
      <w:r w:rsidR="003644D1">
        <w:t xml:space="preserve"> 400)</w:t>
      </w:r>
      <w:r>
        <w:t xml:space="preserve"> o</w:t>
      </w:r>
      <w:r w:rsidR="003644D1">
        <w:t xml:space="preserve">f the material from the </w:t>
      </w:r>
      <w:r>
        <w:t xml:space="preserve">hydrometer test </w:t>
      </w:r>
      <w:r w:rsidR="003644D1">
        <w:t xml:space="preserve">after being </w:t>
      </w:r>
      <w:r>
        <w:t>washed on a No. 200 sieve.</w:t>
      </w:r>
    </w:p>
    <w:p w:rsidR="00E634C4" w:rsidRDefault="00E634C4" w:rsidP="00303D1E"/>
    <w:p w:rsidR="003704E4" w:rsidRDefault="003704E4" w:rsidP="003704E4">
      <w:r>
        <w:t xml:space="preserve">The test to determine gradation for aggregates is slightly different, being described in AASHTO T 27, </w:t>
      </w:r>
      <w:r>
        <w:rPr>
          <w:i/>
        </w:rPr>
        <w:t>Standard Method of Test for Sieve Analysis of Fine and Coarse Aggregate</w:t>
      </w:r>
      <w:r>
        <w:t xml:space="preserve">.  In addition, AASHTO T 11, </w:t>
      </w:r>
      <w:r>
        <w:rPr>
          <w:i/>
        </w:rPr>
        <w:t>Standard Method of Test for Materials Finer than the No. 200 Sieve in Mineral Aggregates by Washing</w:t>
      </w:r>
      <w:r>
        <w:t xml:space="preserve"> is often used in which the aggregate is first washed and the decanted wash water containing suspended and dissolved material is passed through a No. 200 (0.0029 in) sieve.  The loss in mass due to washing (loss by wash) is reported as the percent material finer than the No. 200 sieve.</w:t>
      </w:r>
    </w:p>
    <w:p w:rsidR="007E4D1D" w:rsidRDefault="007E4D1D" w:rsidP="00303D1E"/>
    <w:p w:rsidR="008744F9" w:rsidRPr="00A63061" w:rsidRDefault="008744F9" w:rsidP="008744F9">
      <w:pPr>
        <w:rPr>
          <w:i/>
          <w:spacing w:val="-2"/>
        </w:rPr>
      </w:pPr>
      <w:r>
        <w:t xml:space="preserve">The gradation of soil and aggregates is reported as a cumulative percentage of particles either retained on or passing specific standard sieves, which are based on application.  </w:t>
      </w:r>
      <w:r w:rsidR="00F3038B">
        <w:t xml:space="preserve">Table </w:t>
      </w:r>
      <w:r w:rsidR="00165C35">
        <w:fldChar w:fldCharType="begin"/>
      </w:r>
      <w:r w:rsidR="00F3038B">
        <w:instrText xml:space="preserve"> REF t1 \h </w:instrText>
      </w:r>
      <w:r w:rsidR="00165C35">
        <w:fldChar w:fldCharType="separate"/>
      </w:r>
      <w:r w:rsidR="00E15AAD">
        <w:t>3-1</w:t>
      </w:r>
      <w:r w:rsidR="00165C35">
        <w:fldChar w:fldCharType="end"/>
      </w:r>
      <w:r w:rsidR="00F3038B">
        <w:t xml:space="preserve"> </w:t>
      </w:r>
      <w:r>
        <w:t>lists the sieve designations and sizes most commonly used for soils and aggregates</w:t>
      </w:r>
      <w:r w:rsidR="004C1A29">
        <w:t xml:space="preserve"> (ASTM E11)</w:t>
      </w:r>
      <w:r w:rsidR="00A63061">
        <w:rPr>
          <w:spacing w:val="-2"/>
        </w:rPr>
        <w:t xml:space="preserve">, </w:t>
      </w:r>
      <w:r w:rsidR="00A63061">
        <w:rPr>
          <w:i/>
          <w:spacing w:val="-2"/>
        </w:rPr>
        <w:t>Standard Specification for Woven Wire Test Sieve Cloth and Test Sieves).</w:t>
      </w:r>
    </w:p>
    <w:p w:rsidR="007E4D1D" w:rsidRPr="007872AC" w:rsidRDefault="00303D1E" w:rsidP="00303D1E">
      <w:pPr>
        <w:pStyle w:val="Heading9"/>
      </w:pPr>
      <w:bookmarkStart w:id="4" w:name="_Toc295918108"/>
      <w:r>
        <w:lastRenderedPageBreak/>
        <w:t xml:space="preserve">Table </w:t>
      </w:r>
      <w:bookmarkStart w:id="5" w:name="t1"/>
      <w:r w:rsidR="00F3038B">
        <w:t>3-1</w:t>
      </w:r>
      <w:bookmarkEnd w:id="5"/>
      <w:r>
        <w:t xml:space="preserve">.  </w:t>
      </w:r>
      <w:r w:rsidR="007E4D1D">
        <w:t>Common sieve designations and sizes used in highway construction.</w:t>
      </w:r>
      <w:bookmarkEnd w:id="4"/>
    </w:p>
    <w:tbl>
      <w:tblPr>
        <w:tblW w:w="0" w:type="auto"/>
        <w:jc w:val="center"/>
        <w:tblInd w:w="198" w:type="dxa"/>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ayout w:type="fixed"/>
        <w:tblLook w:val="00A0" w:firstRow="1" w:lastRow="0" w:firstColumn="1" w:lastColumn="0" w:noHBand="0" w:noVBand="0"/>
      </w:tblPr>
      <w:tblGrid>
        <w:gridCol w:w="1440"/>
        <w:gridCol w:w="1848"/>
        <w:gridCol w:w="1440"/>
        <w:gridCol w:w="1440"/>
      </w:tblGrid>
      <w:tr w:rsidR="005F13AD" w:rsidTr="004C1A29">
        <w:trPr>
          <w:jc w:val="center"/>
        </w:trPr>
        <w:tc>
          <w:tcPr>
            <w:tcW w:w="3288" w:type="dxa"/>
            <w:gridSpan w:val="2"/>
            <w:tcBorders>
              <w:top w:val="double" w:sz="4" w:space="0" w:color="auto"/>
            </w:tcBorders>
            <w:vAlign w:val="center"/>
          </w:tcPr>
          <w:p w:rsidR="005F13AD" w:rsidRPr="00781001" w:rsidRDefault="005F13AD" w:rsidP="003760AA">
            <w:pPr>
              <w:spacing w:before="100" w:beforeAutospacing="1" w:after="100" w:afterAutospacing="1"/>
              <w:jc w:val="center"/>
            </w:pPr>
            <w:r w:rsidRPr="003760AA">
              <w:rPr>
                <w:b/>
                <w:bCs/>
                <w:color w:val="000000"/>
              </w:rPr>
              <w:t>Sieve Designation</w:t>
            </w:r>
          </w:p>
        </w:tc>
        <w:tc>
          <w:tcPr>
            <w:tcW w:w="2880" w:type="dxa"/>
            <w:gridSpan w:val="2"/>
            <w:tcBorders>
              <w:top w:val="double" w:sz="4" w:space="0" w:color="auto"/>
            </w:tcBorders>
            <w:vAlign w:val="center"/>
          </w:tcPr>
          <w:p w:rsidR="005F13AD" w:rsidRPr="00781001" w:rsidRDefault="005F13AD" w:rsidP="003760AA">
            <w:pPr>
              <w:spacing w:before="100" w:beforeAutospacing="1" w:after="100" w:afterAutospacing="1"/>
              <w:jc w:val="center"/>
            </w:pPr>
            <w:r w:rsidRPr="003760AA">
              <w:rPr>
                <w:b/>
                <w:bCs/>
                <w:color w:val="000000"/>
              </w:rPr>
              <w:t>Nominal Sieve Opening</w:t>
            </w:r>
          </w:p>
        </w:tc>
      </w:tr>
      <w:tr w:rsidR="005F13AD" w:rsidTr="004C1A29">
        <w:trPr>
          <w:jc w:val="center"/>
        </w:trPr>
        <w:tc>
          <w:tcPr>
            <w:tcW w:w="1440" w:type="dxa"/>
            <w:tcBorders>
              <w:bottom w:val="double" w:sz="4" w:space="0" w:color="auto"/>
            </w:tcBorders>
            <w:vAlign w:val="center"/>
          </w:tcPr>
          <w:p w:rsidR="005F13AD" w:rsidRPr="00781001" w:rsidRDefault="005F13AD" w:rsidP="003760AA">
            <w:pPr>
              <w:spacing w:before="100" w:beforeAutospacing="1" w:after="100" w:afterAutospacing="1"/>
              <w:jc w:val="center"/>
            </w:pPr>
            <w:r w:rsidRPr="003760AA">
              <w:rPr>
                <w:b/>
                <w:bCs/>
                <w:color w:val="000000"/>
              </w:rPr>
              <w:t>Standard</w:t>
            </w:r>
          </w:p>
        </w:tc>
        <w:tc>
          <w:tcPr>
            <w:tcW w:w="1848" w:type="dxa"/>
            <w:tcBorders>
              <w:bottom w:val="double" w:sz="4" w:space="0" w:color="auto"/>
            </w:tcBorders>
            <w:vAlign w:val="center"/>
          </w:tcPr>
          <w:p w:rsidR="005F13AD" w:rsidRPr="00781001" w:rsidRDefault="004C1A29" w:rsidP="003760AA">
            <w:pPr>
              <w:spacing w:before="100" w:beforeAutospacing="1" w:after="100" w:afterAutospacing="1"/>
              <w:jc w:val="center"/>
            </w:pPr>
            <w:r>
              <w:rPr>
                <w:b/>
                <w:bCs/>
                <w:color w:val="000000"/>
              </w:rPr>
              <w:t>US Customary</w:t>
            </w:r>
          </w:p>
        </w:tc>
        <w:tc>
          <w:tcPr>
            <w:tcW w:w="1440" w:type="dxa"/>
            <w:tcBorders>
              <w:bottom w:val="double" w:sz="4" w:space="0" w:color="auto"/>
            </w:tcBorders>
            <w:vAlign w:val="center"/>
          </w:tcPr>
          <w:p w:rsidR="005F13AD" w:rsidRPr="00781001" w:rsidRDefault="005F13AD" w:rsidP="003760AA">
            <w:pPr>
              <w:spacing w:before="100" w:beforeAutospacing="1" w:after="100" w:afterAutospacing="1"/>
              <w:jc w:val="center"/>
            </w:pPr>
            <w:r w:rsidRPr="003760AA">
              <w:rPr>
                <w:b/>
                <w:bCs/>
                <w:color w:val="000000"/>
              </w:rPr>
              <w:t>mm</w:t>
            </w:r>
          </w:p>
        </w:tc>
        <w:tc>
          <w:tcPr>
            <w:tcW w:w="1440" w:type="dxa"/>
            <w:tcBorders>
              <w:bottom w:val="double" w:sz="4" w:space="0" w:color="auto"/>
            </w:tcBorders>
            <w:vAlign w:val="center"/>
          </w:tcPr>
          <w:p w:rsidR="005F13AD" w:rsidRPr="00781001" w:rsidRDefault="00DF35C4" w:rsidP="003760AA">
            <w:pPr>
              <w:spacing w:before="100" w:beforeAutospacing="1" w:after="100" w:afterAutospacing="1"/>
              <w:jc w:val="center"/>
            </w:pPr>
            <w:r>
              <w:rPr>
                <w:b/>
                <w:bCs/>
                <w:color w:val="000000"/>
              </w:rPr>
              <w:t>in.</w:t>
            </w:r>
          </w:p>
        </w:tc>
      </w:tr>
      <w:tr w:rsidR="005F13AD" w:rsidTr="004C1A29">
        <w:trPr>
          <w:jc w:val="center"/>
        </w:trPr>
        <w:tc>
          <w:tcPr>
            <w:tcW w:w="1440" w:type="dxa"/>
            <w:tcBorders>
              <w:top w:val="double" w:sz="4" w:space="0" w:color="auto"/>
            </w:tcBorders>
            <w:vAlign w:val="center"/>
          </w:tcPr>
          <w:p w:rsidR="005F13AD" w:rsidRPr="00B45081" w:rsidRDefault="005F13AD" w:rsidP="003760AA">
            <w:pPr>
              <w:jc w:val="center"/>
            </w:pPr>
            <w:r w:rsidRPr="003760AA">
              <w:rPr>
                <w:color w:val="000000"/>
              </w:rPr>
              <w:t>100 mm</w:t>
            </w:r>
          </w:p>
        </w:tc>
        <w:tc>
          <w:tcPr>
            <w:tcW w:w="1848" w:type="dxa"/>
            <w:tcBorders>
              <w:top w:val="double" w:sz="4" w:space="0" w:color="auto"/>
            </w:tcBorders>
            <w:vAlign w:val="center"/>
          </w:tcPr>
          <w:p w:rsidR="005F13AD" w:rsidRPr="00B45081" w:rsidRDefault="005F13AD" w:rsidP="003760AA">
            <w:pPr>
              <w:jc w:val="center"/>
            </w:pPr>
            <w:r w:rsidRPr="003760AA">
              <w:rPr>
                <w:color w:val="000000"/>
              </w:rPr>
              <w:t>4"</w:t>
            </w:r>
          </w:p>
        </w:tc>
        <w:tc>
          <w:tcPr>
            <w:tcW w:w="1440" w:type="dxa"/>
            <w:tcBorders>
              <w:top w:val="double" w:sz="4" w:space="0" w:color="auto"/>
            </w:tcBorders>
            <w:vAlign w:val="center"/>
          </w:tcPr>
          <w:p w:rsidR="005F13AD" w:rsidRPr="00B45081" w:rsidRDefault="005F13AD" w:rsidP="003760AA">
            <w:pPr>
              <w:jc w:val="center"/>
            </w:pPr>
            <w:r w:rsidRPr="003760AA">
              <w:rPr>
                <w:color w:val="000000"/>
              </w:rPr>
              <w:t>100</w:t>
            </w:r>
          </w:p>
        </w:tc>
        <w:tc>
          <w:tcPr>
            <w:tcW w:w="1440" w:type="dxa"/>
            <w:tcBorders>
              <w:top w:val="double" w:sz="4" w:space="0" w:color="auto"/>
            </w:tcBorders>
            <w:vAlign w:val="center"/>
          </w:tcPr>
          <w:p w:rsidR="005F13AD" w:rsidRPr="00B45081" w:rsidRDefault="005F13AD" w:rsidP="003760AA">
            <w:pPr>
              <w:jc w:val="center"/>
            </w:pPr>
            <w:r w:rsidRPr="003760AA">
              <w:rPr>
                <w:color w:val="000000"/>
              </w:rPr>
              <w:t>3.937"</w:t>
            </w:r>
          </w:p>
        </w:tc>
      </w:tr>
      <w:tr w:rsidR="005F13AD" w:rsidTr="004C1A29">
        <w:trPr>
          <w:jc w:val="center"/>
        </w:trPr>
        <w:tc>
          <w:tcPr>
            <w:tcW w:w="1440" w:type="dxa"/>
            <w:vAlign w:val="center"/>
          </w:tcPr>
          <w:p w:rsidR="005F13AD" w:rsidRPr="00B45081" w:rsidRDefault="005F13AD" w:rsidP="003760AA">
            <w:pPr>
              <w:jc w:val="center"/>
            </w:pPr>
            <w:r w:rsidRPr="003760AA">
              <w:rPr>
                <w:color w:val="000000"/>
              </w:rPr>
              <w:t>90 mm</w:t>
            </w:r>
          </w:p>
        </w:tc>
        <w:tc>
          <w:tcPr>
            <w:tcW w:w="1848" w:type="dxa"/>
            <w:vAlign w:val="center"/>
          </w:tcPr>
          <w:p w:rsidR="005F13AD" w:rsidRPr="00B45081" w:rsidRDefault="005F13AD" w:rsidP="003760AA">
            <w:pPr>
              <w:jc w:val="center"/>
            </w:pPr>
            <w:r w:rsidRPr="003760AA">
              <w:rPr>
                <w:color w:val="000000"/>
              </w:rPr>
              <w:t>3-1/2"</w:t>
            </w:r>
          </w:p>
        </w:tc>
        <w:tc>
          <w:tcPr>
            <w:tcW w:w="1440" w:type="dxa"/>
            <w:vAlign w:val="center"/>
          </w:tcPr>
          <w:p w:rsidR="005F13AD" w:rsidRPr="00B45081" w:rsidRDefault="005F13AD" w:rsidP="003760AA">
            <w:pPr>
              <w:jc w:val="center"/>
            </w:pPr>
            <w:r w:rsidRPr="003760AA">
              <w:rPr>
                <w:color w:val="000000"/>
              </w:rPr>
              <w:t>90</w:t>
            </w:r>
          </w:p>
        </w:tc>
        <w:tc>
          <w:tcPr>
            <w:tcW w:w="1440" w:type="dxa"/>
            <w:vAlign w:val="center"/>
          </w:tcPr>
          <w:p w:rsidR="005F13AD" w:rsidRPr="00B45081" w:rsidRDefault="005F13AD" w:rsidP="003760AA">
            <w:pPr>
              <w:jc w:val="center"/>
            </w:pPr>
            <w:r w:rsidRPr="003760AA">
              <w:rPr>
                <w:color w:val="000000"/>
              </w:rPr>
              <w:t>3.543"</w:t>
            </w:r>
          </w:p>
        </w:tc>
      </w:tr>
      <w:tr w:rsidR="005F13AD" w:rsidTr="004C1A29">
        <w:trPr>
          <w:jc w:val="center"/>
        </w:trPr>
        <w:tc>
          <w:tcPr>
            <w:tcW w:w="1440" w:type="dxa"/>
            <w:vAlign w:val="center"/>
          </w:tcPr>
          <w:p w:rsidR="005F13AD" w:rsidRPr="00B45081" w:rsidRDefault="005F13AD" w:rsidP="003760AA">
            <w:pPr>
              <w:jc w:val="center"/>
            </w:pPr>
            <w:r w:rsidRPr="003760AA">
              <w:rPr>
                <w:color w:val="000000"/>
              </w:rPr>
              <w:t>75 mm</w:t>
            </w:r>
          </w:p>
        </w:tc>
        <w:tc>
          <w:tcPr>
            <w:tcW w:w="1848" w:type="dxa"/>
            <w:vAlign w:val="center"/>
          </w:tcPr>
          <w:p w:rsidR="005F13AD" w:rsidRPr="00B45081" w:rsidRDefault="005F13AD" w:rsidP="003760AA">
            <w:pPr>
              <w:jc w:val="center"/>
            </w:pPr>
            <w:r w:rsidRPr="003760AA">
              <w:rPr>
                <w:color w:val="000000"/>
              </w:rPr>
              <w:t>3"</w:t>
            </w:r>
          </w:p>
        </w:tc>
        <w:tc>
          <w:tcPr>
            <w:tcW w:w="1440" w:type="dxa"/>
            <w:vAlign w:val="center"/>
          </w:tcPr>
          <w:p w:rsidR="005F13AD" w:rsidRPr="00B45081" w:rsidRDefault="005F13AD" w:rsidP="003760AA">
            <w:pPr>
              <w:jc w:val="center"/>
            </w:pPr>
            <w:r w:rsidRPr="003760AA">
              <w:rPr>
                <w:color w:val="000000"/>
              </w:rPr>
              <w:t>75</w:t>
            </w:r>
          </w:p>
        </w:tc>
        <w:tc>
          <w:tcPr>
            <w:tcW w:w="1440" w:type="dxa"/>
            <w:vAlign w:val="center"/>
          </w:tcPr>
          <w:p w:rsidR="005F13AD" w:rsidRPr="00B45081" w:rsidRDefault="005F13AD" w:rsidP="003760AA">
            <w:pPr>
              <w:jc w:val="center"/>
            </w:pPr>
            <w:r w:rsidRPr="003760AA">
              <w:rPr>
                <w:color w:val="000000"/>
              </w:rPr>
              <w:t>2.952"</w:t>
            </w:r>
          </w:p>
        </w:tc>
      </w:tr>
      <w:tr w:rsidR="005F13AD" w:rsidTr="004C1A29">
        <w:trPr>
          <w:jc w:val="center"/>
        </w:trPr>
        <w:tc>
          <w:tcPr>
            <w:tcW w:w="1440" w:type="dxa"/>
            <w:vAlign w:val="center"/>
          </w:tcPr>
          <w:p w:rsidR="005F13AD" w:rsidRPr="00B45081" w:rsidRDefault="005F13AD" w:rsidP="003760AA">
            <w:pPr>
              <w:jc w:val="center"/>
            </w:pPr>
            <w:r w:rsidRPr="003760AA">
              <w:rPr>
                <w:color w:val="000000"/>
              </w:rPr>
              <w:t>63 mm</w:t>
            </w:r>
          </w:p>
        </w:tc>
        <w:tc>
          <w:tcPr>
            <w:tcW w:w="1848" w:type="dxa"/>
            <w:vAlign w:val="center"/>
          </w:tcPr>
          <w:p w:rsidR="005F13AD" w:rsidRPr="00B45081" w:rsidRDefault="005F13AD" w:rsidP="003760AA">
            <w:pPr>
              <w:jc w:val="center"/>
            </w:pPr>
            <w:r w:rsidRPr="003760AA">
              <w:rPr>
                <w:color w:val="000000"/>
              </w:rPr>
              <w:t>2-1/2"</w:t>
            </w:r>
          </w:p>
        </w:tc>
        <w:tc>
          <w:tcPr>
            <w:tcW w:w="1440" w:type="dxa"/>
            <w:vAlign w:val="center"/>
          </w:tcPr>
          <w:p w:rsidR="005F13AD" w:rsidRPr="00B45081" w:rsidRDefault="005F13AD" w:rsidP="003760AA">
            <w:pPr>
              <w:jc w:val="center"/>
            </w:pPr>
            <w:r w:rsidRPr="003760AA">
              <w:rPr>
                <w:color w:val="000000"/>
              </w:rPr>
              <w:t>63</w:t>
            </w:r>
          </w:p>
        </w:tc>
        <w:tc>
          <w:tcPr>
            <w:tcW w:w="1440" w:type="dxa"/>
            <w:vAlign w:val="center"/>
          </w:tcPr>
          <w:p w:rsidR="005F13AD" w:rsidRPr="00B45081" w:rsidRDefault="005F13AD" w:rsidP="003760AA">
            <w:pPr>
              <w:jc w:val="center"/>
            </w:pPr>
            <w:r w:rsidRPr="003760AA">
              <w:rPr>
                <w:color w:val="000000"/>
              </w:rPr>
              <w:t>2.480"</w:t>
            </w:r>
          </w:p>
        </w:tc>
      </w:tr>
      <w:tr w:rsidR="005F13AD" w:rsidTr="004C1A29">
        <w:trPr>
          <w:jc w:val="center"/>
        </w:trPr>
        <w:tc>
          <w:tcPr>
            <w:tcW w:w="1440" w:type="dxa"/>
            <w:vAlign w:val="center"/>
          </w:tcPr>
          <w:p w:rsidR="005F13AD" w:rsidRPr="00781001" w:rsidRDefault="005F13AD" w:rsidP="003760AA">
            <w:pPr>
              <w:jc w:val="center"/>
            </w:pPr>
            <w:r w:rsidRPr="003760AA">
              <w:rPr>
                <w:color w:val="000000"/>
              </w:rPr>
              <w:t>50 mm</w:t>
            </w:r>
          </w:p>
        </w:tc>
        <w:tc>
          <w:tcPr>
            <w:tcW w:w="1848" w:type="dxa"/>
            <w:vAlign w:val="center"/>
          </w:tcPr>
          <w:p w:rsidR="005F13AD" w:rsidRPr="00781001" w:rsidRDefault="005F13AD" w:rsidP="003760AA">
            <w:pPr>
              <w:jc w:val="center"/>
            </w:pPr>
            <w:r w:rsidRPr="003760AA">
              <w:rPr>
                <w:color w:val="000000"/>
              </w:rPr>
              <w:t>2"</w:t>
            </w:r>
          </w:p>
        </w:tc>
        <w:tc>
          <w:tcPr>
            <w:tcW w:w="1440" w:type="dxa"/>
            <w:vAlign w:val="center"/>
          </w:tcPr>
          <w:p w:rsidR="005F13AD" w:rsidRPr="00781001" w:rsidRDefault="005F13AD" w:rsidP="003760AA">
            <w:pPr>
              <w:jc w:val="center"/>
            </w:pPr>
            <w:r w:rsidRPr="003760AA">
              <w:rPr>
                <w:color w:val="000000"/>
              </w:rPr>
              <w:t>50</w:t>
            </w:r>
          </w:p>
        </w:tc>
        <w:tc>
          <w:tcPr>
            <w:tcW w:w="1440" w:type="dxa"/>
            <w:vAlign w:val="center"/>
          </w:tcPr>
          <w:p w:rsidR="005F13AD" w:rsidRPr="00781001" w:rsidRDefault="005F13AD" w:rsidP="003760AA">
            <w:pPr>
              <w:jc w:val="center"/>
            </w:pPr>
            <w:r w:rsidRPr="003760AA">
              <w:rPr>
                <w:color w:val="000000"/>
              </w:rPr>
              <w:t>1.968"</w:t>
            </w:r>
          </w:p>
        </w:tc>
      </w:tr>
      <w:tr w:rsidR="005F13AD" w:rsidTr="004C1A29">
        <w:trPr>
          <w:jc w:val="center"/>
        </w:trPr>
        <w:tc>
          <w:tcPr>
            <w:tcW w:w="1440" w:type="dxa"/>
            <w:vAlign w:val="center"/>
          </w:tcPr>
          <w:p w:rsidR="005F13AD" w:rsidRPr="00781001" w:rsidRDefault="005F13AD" w:rsidP="003760AA">
            <w:pPr>
              <w:jc w:val="center"/>
            </w:pPr>
            <w:r w:rsidRPr="003760AA">
              <w:rPr>
                <w:color w:val="000000"/>
              </w:rPr>
              <w:t>37.5 mm</w:t>
            </w:r>
          </w:p>
        </w:tc>
        <w:tc>
          <w:tcPr>
            <w:tcW w:w="1848" w:type="dxa"/>
            <w:vAlign w:val="center"/>
          </w:tcPr>
          <w:p w:rsidR="005F13AD" w:rsidRPr="00781001" w:rsidRDefault="005F13AD" w:rsidP="003760AA">
            <w:pPr>
              <w:jc w:val="center"/>
            </w:pPr>
            <w:r w:rsidRPr="003760AA">
              <w:rPr>
                <w:color w:val="000000"/>
              </w:rPr>
              <w:t>1-1/2"</w:t>
            </w:r>
          </w:p>
        </w:tc>
        <w:tc>
          <w:tcPr>
            <w:tcW w:w="1440" w:type="dxa"/>
            <w:vAlign w:val="center"/>
          </w:tcPr>
          <w:p w:rsidR="005F13AD" w:rsidRPr="00781001" w:rsidRDefault="005F13AD" w:rsidP="003760AA">
            <w:pPr>
              <w:jc w:val="center"/>
            </w:pPr>
            <w:r w:rsidRPr="003760AA">
              <w:rPr>
                <w:color w:val="000000"/>
              </w:rPr>
              <w:t>37.5</w:t>
            </w:r>
          </w:p>
        </w:tc>
        <w:tc>
          <w:tcPr>
            <w:tcW w:w="1440" w:type="dxa"/>
            <w:vAlign w:val="center"/>
          </w:tcPr>
          <w:p w:rsidR="005F13AD" w:rsidRPr="00781001" w:rsidRDefault="005F13AD" w:rsidP="003760AA">
            <w:pPr>
              <w:jc w:val="center"/>
            </w:pPr>
            <w:r w:rsidRPr="003760AA">
              <w:rPr>
                <w:color w:val="000000"/>
              </w:rPr>
              <w:t>1.476"</w:t>
            </w:r>
          </w:p>
        </w:tc>
      </w:tr>
      <w:tr w:rsidR="005F13AD" w:rsidTr="004C1A29">
        <w:trPr>
          <w:jc w:val="center"/>
        </w:trPr>
        <w:tc>
          <w:tcPr>
            <w:tcW w:w="1440" w:type="dxa"/>
            <w:vAlign w:val="center"/>
          </w:tcPr>
          <w:p w:rsidR="005F13AD" w:rsidRPr="00781001" w:rsidRDefault="005F13AD" w:rsidP="003760AA">
            <w:pPr>
              <w:jc w:val="center"/>
            </w:pPr>
            <w:r w:rsidRPr="003760AA">
              <w:rPr>
                <w:color w:val="000000"/>
              </w:rPr>
              <w:t>25.0 mm</w:t>
            </w:r>
          </w:p>
        </w:tc>
        <w:tc>
          <w:tcPr>
            <w:tcW w:w="1848" w:type="dxa"/>
            <w:vAlign w:val="center"/>
          </w:tcPr>
          <w:p w:rsidR="005F13AD" w:rsidRPr="00781001" w:rsidRDefault="005F13AD" w:rsidP="003760AA">
            <w:pPr>
              <w:jc w:val="center"/>
            </w:pPr>
            <w:r w:rsidRPr="003760AA">
              <w:rPr>
                <w:color w:val="000000"/>
              </w:rPr>
              <w:t>1"</w:t>
            </w:r>
          </w:p>
        </w:tc>
        <w:tc>
          <w:tcPr>
            <w:tcW w:w="1440" w:type="dxa"/>
            <w:vAlign w:val="center"/>
          </w:tcPr>
          <w:p w:rsidR="005F13AD" w:rsidRPr="00781001" w:rsidRDefault="005F13AD" w:rsidP="003760AA">
            <w:pPr>
              <w:jc w:val="center"/>
            </w:pPr>
            <w:r w:rsidRPr="003760AA">
              <w:rPr>
                <w:color w:val="000000"/>
              </w:rPr>
              <w:t>25.0</w:t>
            </w:r>
          </w:p>
        </w:tc>
        <w:tc>
          <w:tcPr>
            <w:tcW w:w="1440" w:type="dxa"/>
            <w:vAlign w:val="center"/>
          </w:tcPr>
          <w:p w:rsidR="005F13AD" w:rsidRPr="00781001" w:rsidRDefault="005F13AD" w:rsidP="003760AA">
            <w:pPr>
              <w:jc w:val="center"/>
            </w:pPr>
            <w:r w:rsidRPr="003760AA">
              <w:rPr>
                <w:color w:val="000000"/>
              </w:rPr>
              <w:t>0.984"</w:t>
            </w:r>
          </w:p>
        </w:tc>
      </w:tr>
      <w:tr w:rsidR="005F13AD" w:rsidTr="004C1A29">
        <w:trPr>
          <w:jc w:val="center"/>
        </w:trPr>
        <w:tc>
          <w:tcPr>
            <w:tcW w:w="1440" w:type="dxa"/>
            <w:vAlign w:val="center"/>
          </w:tcPr>
          <w:p w:rsidR="005F13AD" w:rsidRPr="00781001" w:rsidRDefault="005F13AD" w:rsidP="003760AA">
            <w:pPr>
              <w:jc w:val="center"/>
            </w:pPr>
            <w:r w:rsidRPr="003760AA">
              <w:rPr>
                <w:color w:val="000000"/>
              </w:rPr>
              <w:t>19.0 mm</w:t>
            </w:r>
          </w:p>
        </w:tc>
        <w:tc>
          <w:tcPr>
            <w:tcW w:w="1848" w:type="dxa"/>
            <w:vAlign w:val="center"/>
          </w:tcPr>
          <w:p w:rsidR="005F13AD" w:rsidRPr="00781001" w:rsidRDefault="005F13AD" w:rsidP="003760AA">
            <w:pPr>
              <w:jc w:val="center"/>
            </w:pPr>
            <w:r w:rsidRPr="003760AA">
              <w:rPr>
                <w:color w:val="000000"/>
              </w:rPr>
              <w:t>3/4"</w:t>
            </w:r>
          </w:p>
        </w:tc>
        <w:tc>
          <w:tcPr>
            <w:tcW w:w="1440" w:type="dxa"/>
            <w:vAlign w:val="center"/>
          </w:tcPr>
          <w:p w:rsidR="005F13AD" w:rsidRPr="00781001" w:rsidRDefault="005F13AD" w:rsidP="003760AA">
            <w:pPr>
              <w:jc w:val="center"/>
            </w:pPr>
            <w:r w:rsidRPr="003760AA">
              <w:rPr>
                <w:color w:val="000000"/>
              </w:rPr>
              <w:t>19.0</w:t>
            </w:r>
          </w:p>
        </w:tc>
        <w:tc>
          <w:tcPr>
            <w:tcW w:w="1440" w:type="dxa"/>
            <w:vAlign w:val="center"/>
          </w:tcPr>
          <w:p w:rsidR="005F13AD" w:rsidRPr="00781001" w:rsidRDefault="005F13AD" w:rsidP="003760AA">
            <w:pPr>
              <w:jc w:val="center"/>
            </w:pPr>
            <w:r w:rsidRPr="003760AA">
              <w:rPr>
                <w:color w:val="000000"/>
              </w:rPr>
              <w:t>0.748"</w:t>
            </w:r>
          </w:p>
        </w:tc>
      </w:tr>
      <w:tr w:rsidR="005F13AD" w:rsidTr="004C1A29">
        <w:trPr>
          <w:jc w:val="center"/>
        </w:trPr>
        <w:tc>
          <w:tcPr>
            <w:tcW w:w="1440" w:type="dxa"/>
            <w:vAlign w:val="center"/>
          </w:tcPr>
          <w:p w:rsidR="005F13AD" w:rsidRPr="00781001" w:rsidRDefault="005F13AD" w:rsidP="003760AA">
            <w:pPr>
              <w:jc w:val="center"/>
            </w:pPr>
            <w:r w:rsidRPr="003760AA">
              <w:rPr>
                <w:color w:val="000000"/>
              </w:rPr>
              <w:t>12.5 mm</w:t>
            </w:r>
          </w:p>
        </w:tc>
        <w:tc>
          <w:tcPr>
            <w:tcW w:w="1848" w:type="dxa"/>
            <w:vAlign w:val="center"/>
          </w:tcPr>
          <w:p w:rsidR="005F13AD" w:rsidRPr="00781001" w:rsidRDefault="005F13AD" w:rsidP="003760AA">
            <w:pPr>
              <w:jc w:val="center"/>
            </w:pPr>
            <w:r w:rsidRPr="003760AA">
              <w:rPr>
                <w:color w:val="000000"/>
              </w:rPr>
              <w:t>1/2"</w:t>
            </w:r>
          </w:p>
        </w:tc>
        <w:tc>
          <w:tcPr>
            <w:tcW w:w="1440" w:type="dxa"/>
            <w:vAlign w:val="center"/>
          </w:tcPr>
          <w:p w:rsidR="005F13AD" w:rsidRPr="00781001" w:rsidRDefault="005F13AD" w:rsidP="003760AA">
            <w:pPr>
              <w:jc w:val="center"/>
            </w:pPr>
            <w:r w:rsidRPr="003760AA">
              <w:rPr>
                <w:color w:val="000000"/>
              </w:rPr>
              <w:t>12.5</w:t>
            </w:r>
          </w:p>
        </w:tc>
        <w:tc>
          <w:tcPr>
            <w:tcW w:w="1440" w:type="dxa"/>
            <w:vAlign w:val="center"/>
          </w:tcPr>
          <w:p w:rsidR="005F13AD" w:rsidRPr="00781001" w:rsidRDefault="005F13AD" w:rsidP="003760AA">
            <w:pPr>
              <w:jc w:val="center"/>
            </w:pPr>
            <w:r w:rsidRPr="003760AA">
              <w:rPr>
                <w:color w:val="000000"/>
              </w:rPr>
              <w:t>0.492"</w:t>
            </w:r>
          </w:p>
        </w:tc>
      </w:tr>
      <w:tr w:rsidR="005F13AD" w:rsidTr="004C1A29">
        <w:trPr>
          <w:jc w:val="center"/>
        </w:trPr>
        <w:tc>
          <w:tcPr>
            <w:tcW w:w="1440" w:type="dxa"/>
            <w:vAlign w:val="center"/>
          </w:tcPr>
          <w:p w:rsidR="005F13AD" w:rsidRPr="00781001" w:rsidRDefault="005F13AD" w:rsidP="003760AA">
            <w:pPr>
              <w:jc w:val="center"/>
            </w:pPr>
            <w:r w:rsidRPr="003760AA">
              <w:rPr>
                <w:color w:val="000000"/>
              </w:rPr>
              <w:t>9.5 mm</w:t>
            </w:r>
          </w:p>
        </w:tc>
        <w:tc>
          <w:tcPr>
            <w:tcW w:w="1848" w:type="dxa"/>
            <w:vAlign w:val="center"/>
          </w:tcPr>
          <w:p w:rsidR="005F13AD" w:rsidRPr="00781001" w:rsidRDefault="005F13AD" w:rsidP="003760AA">
            <w:pPr>
              <w:jc w:val="center"/>
            </w:pPr>
            <w:r w:rsidRPr="003760AA">
              <w:rPr>
                <w:color w:val="000000"/>
              </w:rPr>
              <w:t>3/8"</w:t>
            </w:r>
          </w:p>
        </w:tc>
        <w:tc>
          <w:tcPr>
            <w:tcW w:w="1440" w:type="dxa"/>
            <w:vAlign w:val="center"/>
          </w:tcPr>
          <w:p w:rsidR="005F13AD" w:rsidRPr="00781001" w:rsidRDefault="005F13AD" w:rsidP="003760AA">
            <w:pPr>
              <w:jc w:val="center"/>
            </w:pPr>
            <w:r w:rsidRPr="003760AA">
              <w:rPr>
                <w:color w:val="000000"/>
              </w:rPr>
              <w:t>9.5</w:t>
            </w:r>
          </w:p>
        </w:tc>
        <w:tc>
          <w:tcPr>
            <w:tcW w:w="1440" w:type="dxa"/>
            <w:vAlign w:val="center"/>
          </w:tcPr>
          <w:p w:rsidR="005F13AD" w:rsidRPr="00781001" w:rsidRDefault="005F13AD" w:rsidP="003760AA">
            <w:pPr>
              <w:jc w:val="center"/>
            </w:pPr>
            <w:r w:rsidRPr="003760AA">
              <w:rPr>
                <w:color w:val="000000"/>
              </w:rPr>
              <w:t>0.374"</w:t>
            </w:r>
          </w:p>
        </w:tc>
      </w:tr>
      <w:tr w:rsidR="005F13AD" w:rsidTr="004C1A29">
        <w:trPr>
          <w:jc w:val="center"/>
        </w:trPr>
        <w:tc>
          <w:tcPr>
            <w:tcW w:w="1440" w:type="dxa"/>
            <w:vAlign w:val="center"/>
          </w:tcPr>
          <w:p w:rsidR="005F13AD" w:rsidRPr="00781001" w:rsidRDefault="005F13AD" w:rsidP="003760AA">
            <w:pPr>
              <w:jc w:val="center"/>
            </w:pPr>
            <w:r w:rsidRPr="003760AA">
              <w:rPr>
                <w:color w:val="000000"/>
              </w:rPr>
              <w:t>6.3 mm</w:t>
            </w:r>
          </w:p>
        </w:tc>
        <w:tc>
          <w:tcPr>
            <w:tcW w:w="1848" w:type="dxa"/>
            <w:vAlign w:val="center"/>
          </w:tcPr>
          <w:p w:rsidR="005F13AD" w:rsidRPr="00781001" w:rsidRDefault="005F13AD" w:rsidP="003760AA">
            <w:pPr>
              <w:jc w:val="center"/>
            </w:pPr>
            <w:r w:rsidRPr="003760AA">
              <w:rPr>
                <w:color w:val="000000"/>
              </w:rPr>
              <w:t>1/4"</w:t>
            </w:r>
          </w:p>
        </w:tc>
        <w:tc>
          <w:tcPr>
            <w:tcW w:w="1440" w:type="dxa"/>
            <w:vAlign w:val="center"/>
          </w:tcPr>
          <w:p w:rsidR="005F13AD" w:rsidRPr="00781001" w:rsidRDefault="005F13AD" w:rsidP="003760AA">
            <w:pPr>
              <w:jc w:val="center"/>
            </w:pPr>
            <w:r w:rsidRPr="003760AA">
              <w:rPr>
                <w:color w:val="000000"/>
              </w:rPr>
              <w:t>6.3</w:t>
            </w:r>
          </w:p>
        </w:tc>
        <w:tc>
          <w:tcPr>
            <w:tcW w:w="1440" w:type="dxa"/>
            <w:vAlign w:val="center"/>
          </w:tcPr>
          <w:p w:rsidR="005F13AD" w:rsidRPr="00781001" w:rsidRDefault="005F13AD" w:rsidP="003760AA">
            <w:pPr>
              <w:jc w:val="center"/>
            </w:pPr>
            <w:r w:rsidRPr="003760AA">
              <w:rPr>
                <w:color w:val="000000"/>
              </w:rPr>
              <w:t>0.248"</w:t>
            </w:r>
          </w:p>
        </w:tc>
      </w:tr>
      <w:tr w:rsidR="005F13AD" w:rsidTr="004C1A29">
        <w:trPr>
          <w:jc w:val="center"/>
        </w:trPr>
        <w:tc>
          <w:tcPr>
            <w:tcW w:w="1440" w:type="dxa"/>
            <w:vAlign w:val="center"/>
          </w:tcPr>
          <w:p w:rsidR="005F13AD" w:rsidRPr="00781001" w:rsidRDefault="005F13AD" w:rsidP="003760AA">
            <w:pPr>
              <w:jc w:val="center"/>
            </w:pPr>
            <w:r w:rsidRPr="003760AA">
              <w:rPr>
                <w:color w:val="000000"/>
              </w:rPr>
              <w:t>4.75 mm</w:t>
            </w:r>
          </w:p>
        </w:tc>
        <w:tc>
          <w:tcPr>
            <w:tcW w:w="1848" w:type="dxa"/>
            <w:vAlign w:val="center"/>
          </w:tcPr>
          <w:p w:rsidR="005F13AD" w:rsidRPr="00781001" w:rsidRDefault="005F13AD" w:rsidP="003760AA">
            <w:pPr>
              <w:jc w:val="center"/>
            </w:pPr>
            <w:r w:rsidRPr="003760AA">
              <w:rPr>
                <w:color w:val="000000"/>
              </w:rPr>
              <w:t>No. 4</w:t>
            </w:r>
          </w:p>
        </w:tc>
        <w:tc>
          <w:tcPr>
            <w:tcW w:w="1440" w:type="dxa"/>
            <w:vAlign w:val="center"/>
          </w:tcPr>
          <w:p w:rsidR="005F13AD" w:rsidRPr="00781001" w:rsidRDefault="005F13AD" w:rsidP="003760AA">
            <w:pPr>
              <w:jc w:val="center"/>
            </w:pPr>
            <w:r w:rsidRPr="003760AA">
              <w:rPr>
                <w:color w:val="000000"/>
              </w:rPr>
              <w:t>4.75</w:t>
            </w:r>
          </w:p>
        </w:tc>
        <w:tc>
          <w:tcPr>
            <w:tcW w:w="1440" w:type="dxa"/>
            <w:vAlign w:val="center"/>
          </w:tcPr>
          <w:p w:rsidR="005F13AD" w:rsidRPr="00781001" w:rsidRDefault="005F13AD" w:rsidP="003760AA">
            <w:pPr>
              <w:jc w:val="center"/>
            </w:pPr>
            <w:r w:rsidRPr="003760AA">
              <w:rPr>
                <w:color w:val="000000"/>
              </w:rPr>
              <w:t>0.187"</w:t>
            </w:r>
          </w:p>
        </w:tc>
      </w:tr>
      <w:tr w:rsidR="005F13AD" w:rsidTr="004C1A29">
        <w:trPr>
          <w:jc w:val="center"/>
        </w:trPr>
        <w:tc>
          <w:tcPr>
            <w:tcW w:w="1440" w:type="dxa"/>
            <w:vAlign w:val="center"/>
          </w:tcPr>
          <w:p w:rsidR="005F13AD" w:rsidRPr="00781001" w:rsidRDefault="005F13AD" w:rsidP="003760AA">
            <w:pPr>
              <w:jc w:val="center"/>
            </w:pPr>
            <w:r w:rsidRPr="003760AA">
              <w:rPr>
                <w:color w:val="000000"/>
              </w:rPr>
              <w:t>2.36 mm</w:t>
            </w:r>
          </w:p>
        </w:tc>
        <w:tc>
          <w:tcPr>
            <w:tcW w:w="1848" w:type="dxa"/>
            <w:vAlign w:val="center"/>
          </w:tcPr>
          <w:p w:rsidR="005F13AD" w:rsidRPr="00781001" w:rsidRDefault="005F13AD" w:rsidP="003760AA">
            <w:pPr>
              <w:jc w:val="center"/>
            </w:pPr>
            <w:r w:rsidRPr="003760AA">
              <w:rPr>
                <w:color w:val="000000"/>
              </w:rPr>
              <w:t>No. 8</w:t>
            </w:r>
          </w:p>
        </w:tc>
        <w:tc>
          <w:tcPr>
            <w:tcW w:w="1440" w:type="dxa"/>
            <w:vAlign w:val="center"/>
          </w:tcPr>
          <w:p w:rsidR="005F13AD" w:rsidRPr="00781001" w:rsidRDefault="005F13AD" w:rsidP="003760AA">
            <w:pPr>
              <w:jc w:val="center"/>
            </w:pPr>
            <w:r w:rsidRPr="003760AA">
              <w:rPr>
                <w:color w:val="000000"/>
              </w:rPr>
              <w:t>2.36</w:t>
            </w:r>
          </w:p>
        </w:tc>
        <w:tc>
          <w:tcPr>
            <w:tcW w:w="1440" w:type="dxa"/>
            <w:vAlign w:val="center"/>
          </w:tcPr>
          <w:p w:rsidR="005F13AD" w:rsidRPr="00781001" w:rsidRDefault="005F13AD" w:rsidP="003760AA">
            <w:pPr>
              <w:jc w:val="center"/>
            </w:pPr>
            <w:r w:rsidRPr="003760AA">
              <w:rPr>
                <w:color w:val="000000"/>
              </w:rPr>
              <w:t>0.093"</w:t>
            </w:r>
          </w:p>
        </w:tc>
      </w:tr>
      <w:tr w:rsidR="005F13AD" w:rsidTr="004C1A29">
        <w:trPr>
          <w:jc w:val="center"/>
        </w:trPr>
        <w:tc>
          <w:tcPr>
            <w:tcW w:w="1440" w:type="dxa"/>
            <w:vAlign w:val="center"/>
          </w:tcPr>
          <w:p w:rsidR="005F13AD" w:rsidRPr="00781001" w:rsidRDefault="005F13AD" w:rsidP="003760AA">
            <w:pPr>
              <w:jc w:val="center"/>
            </w:pPr>
            <w:r w:rsidRPr="003760AA">
              <w:rPr>
                <w:color w:val="000000"/>
              </w:rPr>
              <w:t>2.00 mm</w:t>
            </w:r>
          </w:p>
        </w:tc>
        <w:tc>
          <w:tcPr>
            <w:tcW w:w="1848" w:type="dxa"/>
            <w:vAlign w:val="center"/>
          </w:tcPr>
          <w:p w:rsidR="005F13AD" w:rsidRPr="00781001" w:rsidRDefault="005F13AD" w:rsidP="003760AA">
            <w:pPr>
              <w:jc w:val="center"/>
            </w:pPr>
            <w:r w:rsidRPr="003760AA">
              <w:rPr>
                <w:color w:val="000000"/>
              </w:rPr>
              <w:t>No. 10</w:t>
            </w:r>
          </w:p>
        </w:tc>
        <w:tc>
          <w:tcPr>
            <w:tcW w:w="1440" w:type="dxa"/>
            <w:vAlign w:val="center"/>
          </w:tcPr>
          <w:p w:rsidR="005F13AD" w:rsidRPr="00781001" w:rsidRDefault="005F13AD" w:rsidP="003760AA">
            <w:pPr>
              <w:jc w:val="center"/>
            </w:pPr>
            <w:r w:rsidRPr="003760AA">
              <w:rPr>
                <w:color w:val="000000"/>
              </w:rPr>
              <w:t>2.00</w:t>
            </w:r>
          </w:p>
        </w:tc>
        <w:tc>
          <w:tcPr>
            <w:tcW w:w="1440" w:type="dxa"/>
            <w:vAlign w:val="center"/>
          </w:tcPr>
          <w:p w:rsidR="005F13AD" w:rsidRPr="00781001" w:rsidRDefault="005F13AD" w:rsidP="003760AA">
            <w:pPr>
              <w:jc w:val="center"/>
            </w:pPr>
            <w:r w:rsidRPr="003760AA">
              <w:rPr>
                <w:color w:val="000000"/>
              </w:rPr>
              <w:t>0.078"</w:t>
            </w:r>
          </w:p>
        </w:tc>
      </w:tr>
      <w:tr w:rsidR="005F13AD" w:rsidTr="004C1A29">
        <w:trPr>
          <w:jc w:val="center"/>
        </w:trPr>
        <w:tc>
          <w:tcPr>
            <w:tcW w:w="1440" w:type="dxa"/>
            <w:vAlign w:val="center"/>
          </w:tcPr>
          <w:p w:rsidR="005F13AD" w:rsidRPr="00781001" w:rsidRDefault="005F13AD" w:rsidP="003760AA">
            <w:pPr>
              <w:jc w:val="center"/>
            </w:pPr>
            <w:r w:rsidRPr="003760AA">
              <w:rPr>
                <w:color w:val="000000"/>
              </w:rPr>
              <w:t>1.18 mm</w:t>
            </w:r>
          </w:p>
        </w:tc>
        <w:tc>
          <w:tcPr>
            <w:tcW w:w="1848" w:type="dxa"/>
            <w:vAlign w:val="center"/>
          </w:tcPr>
          <w:p w:rsidR="005F13AD" w:rsidRPr="00781001" w:rsidRDefault="005F13AD" w:rsidP="003760AA">
            <w:pPr>
              <w:jc w:val="center"/>
            </w:pPr>
            <w:r w:rsidRPr="003760AA">
              <w:rPr>
                <w:color w:val="000000"/>
              </w:rPr>
              <w:t>No. 16</w:t>
            </w:r>
          </w:p>
        </w:tc>
        <w:tc>
          <w:tcPr>
            <w:tcW w:w="1440" w:type="dxa"/>
            <w:vAlign w:val="center"/>
          </w:tcPr>
          <w:p w:rsidR="005F13AD" w:rsidRPr="00781001" w:rsidRDefault="005F13AD" w:rsidP="003760AA">
            <w:pPr>
              <w:jc w:val="center"/>
            </w:pPr>
            <w:r w:rsidRPr="003760AA">
              <w:rPr>
                <w:color w:val="000000"/>
              </w:rPr>
              <w:t>1.180</w:t>
            </w:r>
          </w:p>
        </w:tc>
        <w:tc>
          <w:tcPr>
            <w:tcW w:w="1440" w:type="dxa"/>
            <w:vAlign w:val="center"/>
          </w:tcPr>
          <w:p w:rsidR="005F13AD" w:rsidRPr="00781001" w:rsidRDefault="005F13AD" w:rsidP="003760AA">
            <w:pPr>
              <w:jc w:val="center"/>
            </w:pPr>
            <w:r w:rsidRPr="003760AA">
              <w:rPr>
                <w:color w:val="000000"/>
              </w:rPr>
              <w:t>0.0464"</w:t>
            </w:r>
          </w:p>
        </w:tc>
      </w:tr>
      <w:tr w:rsidR="005F13AD" w:rsidTr="004C1A29">
        <w:trPr>
          <w:jc w:val="center"/>
        </w:trPr>
        <w:tc>
          <w:tcPr>
            <w:tcW w:w="1440" w:type="dxa"/>
            <w:vAlign w:val="center"/>
          </w:tcPr>
          <w:p w:rsidR="005F13AD" w:rsidRPr="00781001" w:rsidRDefault="005F13AD" w:rsidP="003760AA">
            <w:pPr>
              <w:jc w:val="center"/>
            </w:pPr>
            <w:r w:rsidRPr="003760AA">
              <w:rPr>
                <w:color w:val="000000"/>
              </w:rPr>
              <w:t>600 µm</w:t>
            </w:r>
          </w:p>
        </w:tc>
        <w:tc>
          <w:tcPr>
            <w:tcW w:w="1848" w:type="dxa"/>
            <w:vAlign w:val="center"/>
          </w:tcPr>
          <w:p w:rsidR="005F13AD" w:rsidRPr="00781001" w:rsidRDefault="005F13AD" w:rsidP="003760AA">
            <w:pPr>
              <w:jc w:val="center"/>
            </w:pPr>
            <w:r w:rsidRPr="003760AA">
              <w:rPr>
                <w:color w:val="000000"/>
              </w:rPr>
              <w:t>No. 30</w:t>
            </w:r>
          </w:p>
        </w:tc>
        <w:tc>
          <w:tcPr>
            <w:tcW w:w="1440" w:type="dxa"/>
            <w:vAlign w:val="center"/>
          </w:tcPr>
          <w:p w:rsidR="005F13AD" w:rsidRPr="00781001" w:rsidRDefault="005F13AD" w:rsidP="003760AA">
            <w:pPr>
              <w:jc w:val="center"/>
            </w:pPr>
            <w:r w:rsidRPr="003760AA">
              <w:rPr>
                <w:color w:val="000000"/>
              </w:rPr>
              <w:t>0.600</w:t>
            </w:r>
          </w:p>
        </w:tc>
        <w:tc>
          <w:tcPr>
            <w:tcW w:w="1440" w:type="dxa"/>
            <w:vAlign w:val="center"/>
          </w:tcPr>
          <w:p w:rsidR="005F13AD" w:rsidRPr="00781001" w:rsidRDefault="005F13AD" w:rsidP="003760AA">
            <w:pPr>
              <w:jc w:val="center"/>
            </w:pPr>
            <w:r w:rsidRPr="003760AA">
              <w:rPr>
                <w:color w:val="000000"/>
              </w:rPr>
              <w:t>0.0236"</w:t>
            </w:r>
          </w:p>
        </w:tc>
      </w:tr>
      <w:tr w:rsidR="004D4658" w:rsidTr="004C1A29">
        <w:trPr>
          <w:jc w:val="center"/>
        </w:trPr>
        <w:tc>
          <w:tcPr>
            <w:tcW w:w="1440" w:type="dxa"/>
            <w:vAlign w:val="center"/>
          </w:tcPr>
          <w:p w:rsidR="004D4658" w:rsidRPr="004D4658" w:rsidRDefault="004D4658" w:rsidP="003760AA">
            <w:pPr>
              <w:jc w:val="center"/>
              <w:rPr>
                <w:color w:val="FF0000"/>
              </w:rPr>
            </w:pPr>
            <w:r w:rsidRPr="004D4658">
              <w:rPr>
                <w:color w:val="FF0000"/>
              </w:rPr>
              <w:t>450 µm</w:t>
            </w:r>
          </w:p>
        </w:tc>
        <w:tc>
          <w:tcPr>
            <w:tcW w:w="1848" w:type="dxa"/>
            <w:vAlign w:val="center"/>
          </w:tcPr>
          <w:p w:rsidR="004D4658" w:rsidRPr="004D4658" w:rsidRDefault="004D4658" w:rsidP="003760AA">
            <w:pPr>
              <w:jc w:val="center"/>
              <w:rPr>
                <w:color w:val="FF0000"/>
              </w:rPr>
            </w:pPr>
            <w:r w:rsidRPr="004D4658">
              <w:rPr>
                <w:color w:val="FF0000"/>
              </w:rPr>
              <w:t>No. 40</w:t>
            </w:r>
          </w:p>
        </w:tc>
        <w:tc>
          <w:tcPr>
            <w:tcW w:w="1440" w:type="dxa"/>
            <w:vAlign w:val="center"/>
          </w:tcPr>
          <w:p w:rsidR="004D4658" w:rsidRPr="004D4658" w:rsidRDefault="004D4658" w:rsidP="003760AA">
            <w:pPr>
              <w:jc w:val="center"/>
              <w:rPr>
                <w:color w:val="FF0000"/>
              </w:rPr>
            </w:pPr>
            <w:r w:rsidRPr="004D4658">
              <w:rPr>
                <w:color w:val="FF0000"/>
              </w:rPr>
              <w:t>0.425</w:t>
            </w:r>
          </w:p>
        </w:tc>
        <w:tc>
          <w:tcPr>
            <w:tcW w:w="1440" w:type="dxa"/>
            <w:vAlign w:val="center"/>
          </w:tcPr>
          <w:p w:rsidR="004D4658" w:rsidRPr="004D4658" w:rsidRDefault="004D4658" w:rsidP="003760AA">
            <w:pPr>
              <w:jc w:val="center"/>
              <w:rPr>
                <w:color w:val="FF0000"/>
              </w:rPr>
            </w:pPr>
            <w:r w:rsidRPr="004D4658">
              <w:rPr>
                <w:color w:val="FF0000"/>
              </w:rPr>
              <w:t>0.0167”</w:t>
            </w:r>
          </w:p>
        </w:tc>
      </w:tr>
      <w:tr w:rsidR="005F13AD" w:rsidTr="004C1A29">
        <w:trPr>
          <w:jc w:val="center"/>
        </w:trPr>
        <w:tc>
          <w:tcPr>
            <w:tcW w:w="1440" w:type="dxa"/>
            <w:vAlign w:val="center"/>
          </w:tcPr>
          <w:p w:rsidR="005F13AD" w:rsidRPr="00781001" w:rsidRDefault="005F13AD" w:rsidP="003760AA">
            <w:pPr>
              <w:jc w:val="center"/>
            </w:pPr>
            <w:r w:rsidRPr="003760AA">
              <w:rPr>
                <w:color w:val="000000"/>
              </w:rPr>
              <w:t>300 µm</w:t>
            </w:r>
          </w:p>
        </w:tc>
        <w:tc>
          <w:tcPr>
            <w:tcW w:w="1848" w:type="dxa"/>
            <w:vAlign w:val="center"/>
          </w:tcPr>
          <w:p w:rsidR="005F13AD" w:rsidRPr="00781001" w:rsidRDefault="005F13AD" w:rsidP="003760AA">
            <w:pPr>
              <w:jc w:val="center"/>
            </w:pPr>
            <w:r w:rsidRPr="003760AA">
              <w:rPr>
                <w:color w:val="000000"/>
              </w:rPr>
              <w:t>No. 50</w:t>
            </w:r>
          </w:p>
        </w:tc>
        <w:tc>
          <w:tcPr>
            <w:tcW w:w="1440" w:type="dxa"/>
            <w:vAlign w:val="center"/>
          </w:tcPr>
          <w:p w:rsidR="005F13AD" w:rsidRPr="00781001" w:rsidRDefault="005F13AD" w:rsidP="003760AA">
            <w:pPr>
              <w:jc w:val="center"/>
            </w:pPr>
            <w:r w:rsidRPr="003760AA">
              <w:rPr>
                <w:color w:val="000000"/>
              </w:rPr>
              <w:t>0.300</w:t>
            </w:r>
          </w:p>
        </w:tc>
        <w:tc>
          <w:tcPr>
            <w:tcW w:w="1440" w:type="dxa"/>
            <w:vAlign w:val="center"/>
          </w:tcPr>
          <w:p w:rsidR="005F13AD" w:rsidRPr="00781001" w:rsidRDefault="005F13AD" w:rsidP="003760AA">
            <w:pPr>
              <w:jc w:val="center"/>
            </w:pPr>
            <w:r w:rsidRPr="003760AA">
              <w:rPr>
                <w:color w:val="000000"/>
              </w:rPr>
              <w:t>0.0118"</w:t>
            </w:r>
          </w:p>
        </w:tc>
      </w:tr>
      <w:tr w:rsidR="005F13AD" w:rsidTr="004C1A29">
        <w:trPr>
          <w:jc w:val="center"/>
        </w:trPr>
        <w:tc>
          <w:tcPr>
            <w:tcW w:w="1440" w:type="dxa"/>
            <w:vAlign w:val="center"/>
          </w:tcPr>
          <w:p w:rsidR="005F13AD" w:rsidRPr="00781001" w:rsidRDefault="005F13AD" w:rsidP="003760AA">
            <w:pPr>
              <w:jc w:val="center"/>
            </w:pPr>
            <w:r w:rsidRPr="003760AA">
              <w:rPr>
                <w:color w:val="000000"/>
              </w:rPr>
              <w:t>250 µm</w:t>
            </w:r>
          </w:p>
        </w:tc>
        <w:tc>
          <w:tcPr>
            <w:tcW w:w="1848" w:type="dxa"/>
            <w:vAlign w:val="center"/>
          </w:tcPr>
          <w:p w:rsidR="005F13AD" w:rsidRPr="00781001" w:rsidRDefault="005F13AD" w:rsidP="003760AA">
            <w:pPr>
              <w:jc w:val="center"/>
            </w:pPr>
            <w:r w:rsidRPr="003760AA">
              <w:rPr>
                <w:color w:val="000000"/>
              </w:rPr>
              <w:t>No. 60</w:t>
            </w:r>
          </w:p>
        </w:tc>
        <w:tc>
          <w:tcPr>
            <w:tcW w:w="1440" w:type="dxa"/>
            <w:vAlign w:val="center"/>
          </w:tcPr>
          <w:p w:rsidR="005F13AD" w:rsidRPr="00781001" w:rsidRDefault="005F13AD" w:rsidP="003760AA">
            <w:pPr>
              <w:jc w:val="center"/>
            </w:pPr>
            <w:r w:rsidRPr="003760AA">
              <w:rPr>
                <w:color w:val="000000"/>
              </w:rPr>
              <w:t>0.250</w:t>
            </w:r>
          </w:p>
        </w:tc>
        <w:tc>
          <w:tcPr>
            <w:tcW w:w="1440" w:type="dxa"/>
            <w:vAlign w:val="center"/>
          </w:tcPr>
          <w:p w:rsidR="005F13AD" w:rsidRPr="00781001" w:rsidRDefault="005F13AD" w:rsidP="003760AA">
            <w:pPr>
              <w:jc w:val="center"/>
            </w:pPr>
            <w:r w:rsidRPr="003760AA">
              <w:rPr>
                <w:color w:val="000000"/>
              </w:rPr>
              <w:t>0.0098"</w:t>
            </w:r>
          </w:p>
        </w:tc>
      </w:tr>
      <w:tr w:rsidR="005F13AD" w:rsidTr="004C1A29">
        <w:trPr>
          <w:jc w:val="center"/>
        </w:trPr>
        <w:tc>
          <w:tcPr>
            <w:tcW w:w="1440" w:type="dxa"/>
            <w:vAlign w:val="center"/>
          </w:tcPr>
          <w:p w:rsidR="005F13AD" w:rsidRPr="00781001" w:rsidRDefault="005F13AD" w:rsidP="003760AA">
            <w:pPr>
              <w:jc w:val="center"/>
            </w:pPr>
            <w:r w:rsidRPr="003760AA">
              <w:rPr>
                <w:color w:val="000000"/>
              </w:rPr>
              <w:t>150 µm</w:t>
            </w:r>
          </w:p>
        </w:tc>
        <w:tc>
          <w:tcPr>
            <w:tcW w:w="1848" w:type="dxa"/>
            <w:vAlign w:val="center"/>
          </w:tcPr>
          <w:p w:rsidR="005F13AD" w:rsidRPr="00781001" w:rsidRDefault="005F13AD" w:rsidP="003760AA">
            <w:pPr>
              <w:jc w:val="center"/>
            </w:pPr>
            <w:r w:rsidRPr="003760AA">
              <w:rPr>
                <w:color w:val="000000"/>
              </w:rPr>
              <w:t>No. 100</w:t>
            </w:r>
          </w:p>
        </w:tc>
        <w:tc>
          <w:tcPr>
            <w:tcW w:w="1440" w:type="dxa"/>
            <w:vAlign w:val="center"/>
          </w:tcPr>
          <w:p w:rsidR="005F13AD" w:rsidRPr="00781001" w:rsidRDefault="005F13AD" w:rsidP="003760AA">
            <w:pPr>
              <w:jc w:val="center"/>
            </w:pPr>
            <w:r w:rsidRPr="003760AA">
              <w:rPr>
                <w:color w:val="000000"/>
              </w:rPr>
              <w:t>0.150</w:t>
            </w:r>
          </w:p>
        </w:tc>
        <w:tc>
          <w:tcPr>
            <w:tcW w:w="1440" w:type="dxa"/>
            <w:vAlign w:val="center"/>
          </w:tcPr>
          <w:p w:rsidR="005F13AD" w:rsidRPr="00781001" w:rsidRDefault="005F13AD" w:rsidP="003760AA">
            <w:pPr>
              <w:jc w:val="center"/>
            </w:pPr>
            <w:r w:rsidRPr="003760AA">
              <w:rPr>
                <w:color w:val="000000"/>
              </w:rPr>
              <w:t>0.0059"</w:t>
            </w:r>
          </w:p>
        </w:tc>
      </w:tr>
      <w:tr w:rsidR="005F13AD" w:rsidTr="004C1A29">
        <w:trPr>
          <w:jc w:val="center"/>
        </w:trPr>
        <w:tc>
          <w:tcPr>
            <w:tcW w:w="1440" w:type="dxa"/>
            <w:vAlign w:val="center"/>
          </w:tcPr>
          <w:p w:rsidR="005F13AD" w:rsidRPr="00781001" w:rsidRDefault="005F13AD" w:rsidP="003760AA">
            <w:pPr>
              <w:jc w:val="center"/>
            </w:pPr>
            <w:r w:rsidRPr="003760AA">
              <w:rPr>
                <w:color w:val="000000"/>
              </w:rPr>
              <w:t>75 µm</w:t>
            </w:r>
          </w:p>
        </w:tc>
        <w:tc>
          <w:tcPr>
            <w:tcW w:w="1848" w:type="dxa"/>
            <w:vAlign w:val="center"/>
          </w:tcPr>
          <w:p w:rsidR="005F13AD" w:rsidRPr="00781001" w:rsidRDefault="005F13AD" w:rsidP="003760AA">
            <w:pPr>
              <w:jc w:val="center"/>
            </w:pPr>
            <w:r w:rsidRPr="003760AA">
              <w:rPr>
                <w:color w:val="000000"/>
              </w:rPr>
              <w:t>No. 200</w:t>
            </w:r>
          </w:p>
        </w:tc>
        <w:tc>
          <w:tcPr>
            <w:tcW w:w="1440" w:type="dxa"/>
            <w:vAlign w:val="center"/>
          </w:tcPr>
          <w:p w:rsidR="005F13AD" w:rsidRPr="00781001" w:rsidRDefault="005F13AD" w:rsidP="003760AA">
            <w:pPr>
              <w:jc w:val="center"/>
            </w:pPr>
            <w:r w:rsidRPr="003760AA">
              <w:rPr>
                <w:color w:val="000000"/>
              </w:rPr>
              <w:t>0.075</w:t>
            </w:r>
          </w:p>
        </w:tc>
        <w:tc>
          <w:tcPr>
            <w:tcW w:w="1440" w:type="dxa"/>
            <w:vAlign w:val="center"/>
          </w:tcPr>
          <w:p w:rsidR="005F13AD" w:rsidRPr="00781001" w:rsidRDefault="005F13AD" w:rsidP="003760AA">
            <w:pPr>
              <w:jc w:val="center"/>
            </w:pPr>
            <w:r w:rsidRPr="003760AA">
              <w:rPr>
                <w:color w:val="000000"/>
              </w:rPr>
              <w:t>0.0029"</w:t>
            </w:r>
          </w:p>
        </w:tc>
      </w:tr>
      <w:tr w:rsidR="005F13AD" w:rsidTr="004C1A29">
        <w:trPr>
          <w:jc w:val="center"/>
        </w:trPr>
        <w:tc>
          <w:tcPr>
            <w:tcW w:w="1440" w:type="dxa"/>
            <w:tcBorders>
              <w:bottom w:val="double" w:sz="4" w:space="0" w:color="auto"/>
            </w:tcBorders>
            <w:vAlign w:val="center"/>
          </w:tcPr>
          <w:p w:rsidR="005F13AD" w:rsidRPr="00781001" w:rsidRDefault="005F13AD" w:rsidP="003760AA">
            <w:pPr>
              <w:jc w:val="center"/>
            </w:pPr>
            <w:r w:rsidRPr="003760AA">
              <w:rPr>
                <w:color w:val="000000"/>
              </w:rPr>
              <w:t>45 µm</w:t>
            </w:r>
          </w:p>
        </w:tc>
        <w:tc>
          <w:tcPr>
            <w:tcW w:w="1848" w:type="dxa"/>
            <w:tcBorders>
              <w:bottom w:val="double" w:sz="4" w:space="0" w:color="auto"/>
            </w:tcBorders>
            <w:vAlign w:val="center"/>
          </w:tcPr>
          <w:p w:rsidR="005F13AD" w:rsidRPr="00781001" w:rsidRDefault="005F13AD" w:rsidP="003760AA">
            <w:pPr>
              <w:jc w:val="center"/>
            </w:pPr>
            <w:r w:rsidRPr="003760AA">
              <w:rPr>
                <w:color w:val="000000"/>
              </w:rPr>
              <w:t>No. 325</w:t>
            </w:r>
          </w:p>
        </w:tc>
        <w:tc>
          <w:tcPr>
            <w:tcW w:w="1440" w:type="dxa"/>
            <w:tcBorders>
              <w:bottom w:val="double" w:sz="4" w:space="0" w:color="auto"/>
            </w:tcBorders>
            <w:vAlign w:val="center"/>
          </w:tcPr>
          <w:p w:rsidR="005F13AD" w:rsidRPr="00781001" w:rsidRDefault="005F13AD" w:rsidP="003760AA">
            <w:pPr>
              <w:jc w:val="center"/>
            </w:pPr>
            <w:r w:rsidRPr="003760AA">
              <w:rPr>
                <w:color w:val="000000"/>
              </w:rPr>
              <w:t>0.045</w:t>
            </w:r>
          </w:p>
        </w:tc>
        <w:tc>
          <w:tcPr>
            <w:tcW w:w="1440" w:type="dxa"/>
            <w:tcBorders>
              <w:bottom w:val="double" w:sz="4" w:space="0" w:color="auto"/>
            </w:tcBorders>
            <w:vAlign w:val="center"/>
          </w:tcPr>
          <w:p w:rsidR="005F13AD" w:rsidRPr="00781001" w:rsidRDefault="005F13AD" w:rsidP="003760AA">
            <w:pPr>
              <w:jc w:val="center"/>
            </w:pPr>
            <w:r w:rsidRPr="003760AA">
              <w:rPr>
                <w:color w:val="000000"/>
              </w:rPr>
              <w:t>0.0017"</w:t>
            </w:r>
          </w:p>
        </w:tc>
      </w:tr>
    </w:tbl>
    <w:p w:rsidR="007E4D1D" w:rsidRDefault="007E4D1D" w:rsidP="00303D1E"/>
    <w:p w:rsidR="00303D1E" w:rsidRDefault="00303D1E" w:rsidP="00303D1E"/>
    <w:p w:rsidR="004C1A29" w:rsidRDefault="004C1A29" w:rsidP="004C1A29">
      <w:r>
        <w:t>A typical gradation chart will have the percentage retained or passing on the vertical axis and the sieve size plotted on the horizontal axis.  It is common to transform the sieve size (horizontal axis) either using a logarithmic scale or by raising the ratio of sieve size to maximum aggregate size to a power (e.g., 0.45).  The latter was developed by Fuller and Thompson (1907) as a way to define the maximum density (minimum voids) gradation achievable through particle packing using the following relationship:</w:t>
      </w:r>
    </w:p>
    <w:p w:rsidR="004C1A29" w:rsidRDefault="004C1A29" w:rsidP="004C1A29"/>
    <w:p w:rsidR="004C1A29" w:rsidRPr="00303D1E" w:rsidRDefault="004C1A29" w:rsidP="004C1A29">
      <w:pPr>
        <w:tabs>
          <w:tab w:val="center" w:pos="4680"/>
          <w:tab w:val="right" w:pos="9360"/>
        </w:tabs>
        <w:rPr>
          <w:rFonts w:ascii="Arial" w:eastAsiaTheme="minorEastAsia" w:hAnsi="Arial" w:cstheme="minorBidi"/>
          <w:i/>
          <w:szCs w:val="24"/>
        </w:rPr>
      </w:pPr>
      <w:r>
        <w:rPr>
          <w:rFonts w:ascii="Arial" w:eastAsiaTheme="minorEastAsia" w:hAnsi="Arial" w:cstheme="minorBidi"/>
          <w:i/>
          <w:szCs w:val="24"/>
        </w:rPr>
        <w:tab/>
      </w:r>
      <m:oMath>
        <m:sSub>
          <m:sSubPr>
            <m:ctrlPr>
              <w:rPr>
                <w:rFonts w:ascii="Cambria Math" w:hAnsi="Cambria Math"/>
                <w:i/>
                <w:spacing w:val="-2"/>
              </w:rPr>
            </m:ctrlPr>
          </m:sSubPr>
          <m:e>
            <m:r>
              <w:rPr>
                <w:rFonts w:ascii="Cambria Math" w:hAnsi="Cambria Math"/>
                <w:spacing w:val="-2"/>
              </w:rPr>
              <m:t>P</m:t>
            </m:r>
          </m:e>
          <m:sub>
            <m:r>
              <w:rPr>
                <w:rFonts w:ascii="Cambria Math" w:hAnsi="Cambria Math"/>
                <w:spacing w:val="-2"/>
              </w:rPr>
              <m:t>i</m:t>
            </m:r>
          </m:sub>
        </m:sSub>
        <m:r>
          <w:rPr>
            <w:rFonts w:ascii="Cambria Math" w:hAnsi="Cambria Math"/>
            <w:spacing w:val="-2"/>
          </w:rPr>
          <m:t>=100</m:t>
        </m:r>
        <m:sSup>
          <m:sSupPr>
            <m:ctrlPr>
              <w:rPr>
                <w:rFonts w:ascii="Cambria Math" w:hAnsi="Cambria Math"/>
                <w:i/>
                <w:spacing w:val="-2"/>
              </w:rPr>
            </m:ctrlPr>
          </m:sSupPr>
          <m:e>
            <m:d>
              <m:dPr>
                <m:ctrlPr>
                  <w:rPr>
                    <w:rFonts w:ascii="Cambria Math" w:hAnsi="Cambria Math"/>
                    <w:i/>
                    <w:spacing w:val="-2"/>
                  </w:rPr>
                </m:ctrlPr>
              </m:dPr>
              <m:e>
                <m:f>
                  <m:fPr>
                    <m:ctrlPr>
                      <w:rPr>
                        <w:rFonts w:ascii="Cambria Math" w:hAnsi="Cambria Math"/>
                        <w:i/>
                        <w:spacing w:val="-2"/>
                      </w:rPr>
                    </m:ctrlPr>
                  </m:fPr>
                  <m:num>
                    <m:sSub>
                      <m:sSubPr>
                        <m:ctrlPr>
                          <w:rPr>
                            <w:rFonts w:ascii="Cambria Math" w:hAnsi="Cambria Math"/>
                            <w:i/>
                            <w:spacing w:val="-2"/>
                          </w:rPr>
                        </m:ctrlPr>
                      </m:sSubPr>
                      <m:e>
                        <m:r>
                          <w:rPr>
                            <w:rFonts w:ascii="Cambria Math" w:hAnsi="Cambria Math"/>
                            <w:spacing w:val="-2"/>
                          </w:rPr>
                          <m:t>d</m:t>
                        </m:r>
                      </m:e>
                      <m:sub>
                        <m:r>
                          <w:rPr>
                            <w:rFonts w:ascii="Cambria Math" w:hAnsi="Cambria Math"/>
                            <w:spacing w:val="-2"/>
                          </w:rPr>
                          <m:t>i</m:t>
                        </m:r>
                      </m:sub>
                    </m:sSub>
                  </m:num>
                  <m:den>
                    <m:r>
                      <w:rPr>
                        <w:rFonts w:ascii="Cambria Math" w:hAnsi="Cambria Math"/>
                        <w:spacing w:val="-2"/>
                      </w:rPr>
                      <m:t>D</m:t>
                    </m:r>
                  </m:den>
                </m:f>
              </m:e>
            </m:d>
          </m:e>
          <m:sup>
            <m:r>
              <w:rPr>
                <w:rFonts w:ascii="Cambria Math" w:hAnsi="Cambria Math"/>
                <w:spacing w:val="-2"/>
              </w:rPr>
              <m:t>n</m:t>
            </m:r>
          </m:sup>
        </m:sSup>
      </m:oMath>
      <w:r>
        <w:rPr>
          <w:rFonts w:ascii="Arial" w:eastAsiaTheme="minorEastAsia" w:hAnsi="Arial" w:cstheme="minorBidi"/>
          <w:i/>
          <w:szCs w:val="24"/>
        </w:rPr>
        <w:tab/>
      </w:r>
      <w:r w:rsidRPr="00303D1E">
        <w:rPr>
          <w:rFonts w:eastAsiaTheme="minorEastAsia"/>
          <w:szCs w:val="24"/>
        </w:rPr>
        <w:t>(</w:t>
      </w:r>
      <w:r>
        <w:rPr>
          <w:rFonts w:eastAsiaTheme="minorEastAsia"/>
          <w:szCs w:val="24"/>
        </w:rPr>
        <w:t>3-</w:t>
      </w:r>
      <w:r w:rsidRPr="00303D1E">
        <w:rPr>
          <w:rFonts w:eastAsiaTheme="minorEastAsia"/>
          <w:szCs w:val="24"/>
        </w:rPr>
        <w:t>1)</w:t>
      </w:r>
    </w:p>
    <w:p w:rsidR="004C1A29" w:rsidRPr="00303D1E" w:rsidRDefault="004C1A29" w:rsidP="004C1A29">
      <w:pPr>
        <w:spacing w:before="120" w:after="120"/>
        <w:rPr>
          <w:szCs w:val="24"/>
        </w:rPr>
      </w:pPr>
      <w:r>
        <w:rPr>
          <w:szCs w:val="24"/>
        </w:rPr>
        <w:t>where:</w:t>
      </w:r>
    </w:p>
    <w:p w:rsidR="004C1A29" w:rsidRPr="00303D1E" w:rsidRDefault="004C1A29" w:rsidP="004C1A29">
      <w:pPr>
        <w:tabs>
          <w:tab w:val="right" w:pos="1080"/>
          <w:tab w:val="left" w:pos="1440"/>
          <w:tab w:val="left" w:pos="1800"/>
        </w:tabs>
        <w:ind w:left="1800" w:hanging="1800"/>
        <w:rPr>
          <w:i/>
          <w:szCs w:val="24"/>
        </w:rPr>
      </w:pPr>
      <w:r>
        <w:rPr>
          <w:i/>
          <w:szCs w:val="24"/>
        </w:rPr>
        <w:tab/>
      </w:r>
      <w:r w:rsidRPr="00303D1E">
        <w:rPr>
          <w:i/>
          <w:szCs w:val="24"/>
        </w:rPr>
        <w:t>P</w:t>
      </w:r>
      <w:r w:rsidRPr="005433F3">
        <w:rPr>
          <w:i/>
          <w:szCs w:val="24"/>
          <w:vertAlign w:val="subscript"/>
        </w:rPr>
        <w:t>i</w:t>
      </w:r>
      <w:r>
        <w:rPr>
          <w:i/>
          <w:szCs w:val="24"/>
        </w:rPr>
        <w:tab/>
        <w:t>=</w:t>
      </w:r>
      <w:r>
        <w:rPr>
          <w:i/>
          <w:szCs w:val="24"/>
        </w:rPr>
        <w:tab/>
      </w:r>
      <w:r w:rsidRPr="00303D1E">
        <w:rPr>
          <w:szCs w:val="24"/>
        </w:rPr>
        <w:t>Percent passing a sieve of size d</w:t>
      </w:r>
      <w:r w:rsidRPr="00303D1E">
        <w:rPr>
          <w:szCs w:val="24"/>
          <w:vertAlign w:val="subscript"/>
        </w:rPr>
        <w:t>i</w:t>
      </w:r>
      <w:r w:rsidRPr="00303D1E">
        <w:rPr>
          <w:szCs w:val="24"/>
        </w:rPr>
        <w:t>.</w:t>
      </w:r>
    </w:p>
    <w:p w:rsidR="004C1A29" w:rsidRPr="00303D1E" w:rsidRDefault="004C1A29" w:rsidP="004C1A29">
      <w:pPr>
        <w:tabs>
          <w:tab w:val="right" w:pos="1080"/>
          <w:tab w:val="left" w:pos="1440"/>
          <w:tab w:val="left" w:pos="1800"/>
        </w:tabs>
        <w:ind w:left="1800" w:hanging="1800"/>
        <w:rPr>
          <w:i/>
          <w:szCs w:val="24"/>
        </w:rPr>
      </w:pPr>
      <w:r>
        <w:rPr>
          <w:i/>
          <w:szCs w:val="24"/>
        </w:rPr>
        <w:tab/>
      </w:r>
      <w:r w:rsidRPr="00303D1E">
        <w:rPr>
          <w:i/>
          <w:szCs w:val="24"/>
        </w:rPr>
        <w:t>d</w:t>
      </w:r>
      <w:r w:rsidRPr="00303D1E">
        <w:rPr>
          <w:i/>
          <w:szCs w:val="24"/>
          <w:vertAlign w:val="subscript"/>
        </w:rPr>
        <w:t>i</w:t>
      </w:r>
      <w:r>
        <w:rPr>
          <w:i/>
          <w:szCs w:val="24"/>
        </w:rPr>
        <w:tab/>
        <w:t>=</w:t>
      </w:r>
      <w:r>
        <w:rPr>
          <w:i/>
          <w:szCs w:val="24"/>
        </w:rPr>
        <w:tab/>
      </w:r>
      <w:r w:rsidRPr="00303D1E">
        <w:rPr>
          <w:szCs w:val="24"/>
        </w:rPr>
        <w:t>Sieve size in question.</w:t>
      </w:r>
    </w:p>
    <w:p w:rsidR="004C1A29" w:rsidRPr="00303D1E" w:rsidRDefault="004C1A29" w:rsidP="004C1A29">
      <w:pPr>
        <w:tabs>
          <w:tab w:val="right" w:pos="1080"/>
          <w:tab w:val="left" w:pos="1440"/>
          <w:tab w:val="left" w:pos="1800"/>
        </w:tabs>
        <w:ind w:left="1800" w:hanging="1800"/>
        <w:rPr>
          <w:i/>
          <w:szCs w:val="24"/>
        </w:rPr>
      </w:pPr>
      <w:r w:rsidRPr="00303D1E">
        <w:rPr>
          <w:i/>
          <w:szCs w:val="24"/>
        </w:rPr>
        <w:tab/>
        <w:t>D</w:t>
      </w:r>
      <w:r>
        <w:rPr>
          <w:i/>
          <w:szCs w:val="24"/>
        </w:rPr>
        <w:tab/>
        <w:t>=</w:t>
      </w:r>
      <w:r>
        <w:rPr>
          <w:i/>
          <w:szCs w:val="24"/>
        </w:rPr>
        <w:tab/>
      </w:r>
      <w:r w:rsidRPr="00303D1E">
        <w:rPr>
          <w:szCs w:val="24"/>
        </w:rPr>
        <w:t>Maximum size of the particle.</w:t>
      </w:r>
    </w:p>
    <w:p w:rsidR="004C1A29" w:rsidRPr="00303D1E" w:rsidRDefault="004C1A29" w:rsidP="004C1A29">
      <w:pPr>
        <w:tabs>
          <w:tab w:val="right" w:pos="1080"/>
          <w:tab w:val="left" w:pos="1440"/>
          <w:tab w:val="left" w:pos="1800"/>
        </w:tabs>
        <w:ind w:left="1800" w:hanging="1800"/>
        <w:rPr>
          <w:i/>
          <w:szCs w:val="24"/>
        </w:rPr>
      </w:pPr>
      <w:r w:rsidRPr="00303D1E">
        <w:rPr>
          <w:i/>
          <w:szCs w:val="24"/>
        </w:rPr>
        <w:tab/>
        <w:t>n</w:t>
      </w:r>
      <w:r>
        <w:rPr>
          <w:i/>
          <w:szCs w:val="24"/>
        </w:rPr>
        <w:tab/>
        <w:t>=</w:t>
      </w:r>
      <w:r>
        <w:rPr>
          <w:i/>
          <w:szCs w:val="24"/>
        </w:rPr>
        <w:tab/>
      </w:r>
      <w:r w:rsidRPr="00303D1E">
        <w:rPr>
          <w:szCs w:val="24"/>
        </w:rPr>
        <w:t>Power to which ratio of sieve size to maximum particle size is raised, commonly being 0.45</w:t>
      </w:r>
      <w:r>
        <w:rPr>
          <w:szCs w:val="24"/>
        </w:rPr>
        <w:t>.</w:t>
      </w:r>
    </w:p>
    <w:p w:rsidR="004C1A29" w:rsidRDefault="004C1A29" w:rsidP="00303D1E"/>
    <w:p w:rsidR="007E4D1D" w:rsidRDefault="007E4D1D" w:rsidP="00303D1E">
      <w:r>
        <w:t xml:space="preserve">Fuller </w:t>
      </w:r>
      <w:r w:rsidR="00CC33B0">
        <w:t xml:space="preserve">and Thompson (1907) </w:t>
      </w:r>
      <w:r>
        <w:t>originally recommended that the exponent</w:t>
      </w:r>
      <w:r w:rsidRPr="0084586E">
        <w:rPr>
          <w:i/>
        </w:rPr>
        <w:t xml:space="preserve"> n</w:t>
      </w:r>
      <w:r>
        <w:t xml:space="preserve"> be 0.50, but subsequent research found that 0.45 provided better results.  Since the 1960’s, the “0.45 power” </w:t>
      </w:r>
      <w:r>
        <w:lastRenderedPageBreak/>
        <w:t xml:space="preserve">gradation chart has been in common use to evaluate the aggregate gradation for asphalt mixtures, and more recently is being used to evaluate aggregate gradations for use with </w:t>
      </w:r>
      <w:r w:rsidR="00B55EC9">
        <w:t>concrete</w:t>
      </w:r>
      <w:r w:rsidR="00F95198">
        <w:t>.</w:t>
      </w:r>
    </w:p>
    <w:p w:rsidR="003B4E29" w:rsidRPr="00F95198" w:rsidRDefault="007E4D1D" w:rsidP="00303D1E">
      <w:r w:rsidRPr="00F95198">
        <w:t xml:space="preserve">Examples of a semi-log and 0.45 power gradation charts are presented in </w:t>
      </w:r>
      <w:r w:rsidR="00AA7638">
        <w:t xml:space="preserve">Figures 3-1 and 3-2, </w:t>
      </w:r>
      <w:r w:rsidR="00F95198">
        <w:t>respectively</w:t>
      </w:r>
      <w:r w:rsidRPr="00F95198">
        <w:t>.</w:t>
      </w:r>
    </w:p>
    <w:p w:rsidR="003B4E29" w:rsidRDefault="003B4E29" w:rsidP="00303D1E"/>
    <w:p w:rsidR="00854E2A" w:rsidRPr="00854E2A" w:rsidRDefault="00303D1E" w:rsidP="00303D1E">
      <w:pPr>
        <w:jc w:val="center"/>
      </w:pPr>
      <w:r>
        <w:rPr>
          <w:noProof/>
        </w:rPr>
        <w:drawing>
          <wp:inline distT="0" distB="0" distL="0" distR="0">
            <wp:extent cx="4937760" cy="302297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srcRect/>
                    <a:stretch>
                      <a:fillRect/>
                    </a:stretch>
                  </pic:blipFill>
                  <pic:spPr bwMode="auto">
                    <a:xfrm>
                      <a:off x="0" y="0"/>
                      <a:ext cx="4937760" cy="3022976"/>
                    </a:xfrm>
                    <a:prstGeom prst="rect">
                      <a:avLst/>
                    </a:prstGeom>
                    <a:noFill/>
                    <a:ln w="9525">
                      <a:noFill/>
                      <a:miter lim="800000"/>
                      <a:headEnd/>
                      <a:tailEnd/>
                    </a:ln>
                  </pic:spPr>
                </pic:pic>
              </a:graphicData>
            </a:graphic>
          </wp:inline>
        </w:drawing>
      </w:r>
    </w:p>
    <w:p w:rsidR="00854E2A" w:rsidRDefault="00303D1E" w:rsidP="004B4E81">
      <w:pPr>
        <w:pStyle w:val="APTechFigureCaption"/>
        <w:rPr>
          <w:spacing w:val="-2"/>
        </w:rPr>
      </w:pPr>
      <w:bookmarkStart w:id="6" w:name="_Ref274309799"/>
      <w:bookmarkStart w:id="7" w:name="_Toc295918025"/>
      <w:r>
        <w:t>Figure</w:t>
      </w:r>
      <w:bookmarkEnd w:id="6"/>
      <w:r w:rsidR="00F3038B">
        <w:t xml:space="preserve"> </w:t>
      </w:r>
      <w:bookmarkStart w:id="8" w:name="F2"/>
      <w:r w:rsidR="00F3038B">
        <w:t>3-</w:t>
      </w:r>
      <w:bookmarkEnd w:id="8"/>
      <w:r w:rsidR="00CC4DEE">
        <w:t>1</w:t>
      </w:r>
      <w:r w:rsidR="00854E2A">
        <w:t xml:space="preserve">.  </w:t>
      </w:r>
      <w:r w:rsidR="005F13AD">
        <w:t>S</w:t>
      </w:r>
      <w:r w:rsidR="00854E2A">
        <w:t>emi-log plot of a sample gradation.</w:t>
      </w:r>
      <w:bookmarkEnd w:id="7"/>
    </w:p>
    <w:p w:rsidR="00854E2A" w:rsidRDefault="00854E2A" w:rsidP="003879F3"/>
    <w:p w:rsidR="00854E2A" w:rsidRPr="007B30D5" w:rsidRDefault="00303D1E" w:rsidP="00303D1E">
      <w:pPr>
        <w:jc w:val="center"/>
      </w:pPr>
      <w:r>
        <w:rPr>
          <w:noProof/>
        </w:rPr>
        <w:drawing>
          <wp:inline distT="0" distB="0" distL="0" distR="0">
            <wp:extent cx="4937760" cy="302998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srcRect/>
                    <a:stretch>
                      <a:fillRect/>
                    </a:stretch>
                  </pic:blipFill>
                  <pic:spPr bwMode="auto">
                    <a:xfrm>
                      <a:off x="0" y="0"/>
                      <a:ext cx="4937760" cy="3029989"/>
                    </a:xfrm>
                    <a:prstGeom prst="rect">
                      <a:avLst/>
                    </a:prstGeom>
                    <a:noFill/>
                    <a:ln w="9525">
                      <a:noFill/>
                      <a:miter lim="800000"/>
                      <a:headEnd/>
                      <a:tailEnd/>
                    </a:ln>
                  </pic:spPr>
                </pic:pic>
              </a:graphicData>
            </a:graphic>
          </wp:inline>
        </w:drawing>
      </w:r>
    </w:p>
    <w:p w:rsidR="007E4D1D" w:rsidRDefault="00303D1E" w:rsidP="004B4E81">
      <w:pPr>
        <w:pStyle w:val="APTechFigureCaption"/>
      </w:pPr>
      <w:bookmarkStart w:id="9" w:name="_Ref274309801"/>
      <w:bookmarkStart w:id="10" w:name="_Toc295918026"/>
      <w:r>
        <w:t>Figure</w:t>
      </w:r>
      <w:bookmarkEnd w:id="9"/>
      <w:r w:rsidR="00F3038B">
        <w:t xml:space="preserve"> </w:t>
      </w:r>
      <w:bookmarkStart w:id="11" w:name="F3"/>
      <w:r w:rsidR="00F3038B">
        <w:t>3-</w:t>
      </w:r>
      <w:bookmarkEnd w:id="11"/>
      <w:r w:rsidR="00CC4DEE">
        <w:t>2</w:t>
      </w:r>
      <w:r>
        <w:t xml:space="preserve">.  </w:t>
      </w:r>
      <w:r w:rsidR="005F13AD">
        <w:t>0</w:t>
      </w:r>
      <w:r w:rsidR="00854E2A">
        <w:t xml:space="preserve">.45 power scale of the same gradation shown in </w:t>
      </w:r>
      <w:r w:rsidR="003879F3">
        <w:t>F</w:t>
      </w:r>
      <w:r w:rsidR="00854E2A">
        <w:t>igure</w:t>
      </w:r>
      <w:bookmarkEnd w:id="10"/>
      <w:r w:rsidR="00AA7638">
        <w:t xml:space="preserve"> 3-1.</w:t>
      </w:r>
    </w:p>
    <w:p w:rsidR="00303D1E" w:rsidRDefault="00303D1E" w:rsidP="003879F3"/>
    <w:p w:rsidR="007E4D1D" w:rsidRDefault="007E4D1D" w:rsidP="003879F3">
      <w:pPr>
        <w:pStyle w:val="Heading4"/>
      </w:pPr>
      <w:bookmarkStart w:id="12" w:name="_Toc295918603"/>
      <w:r>
        <w:t xml:space="preserve">Atterberg </w:t>
      </w:r>
      <w:r w:rsidR="007B2E80">
        <w:t>L</w:t>
      </w:r>
      <w:r>
        <w:t>imits</w:t>
      </w:r>
      <w:bookmarkEnd w:id="12"/>
    </w:p>
    <w:p w:rsidR="007E4D1D" w:rsidRDefault="007E4D1D" w:rsidP="003879F3">
      <w:r>
        <w:t xml:space="preserve">Depending on moisture content, soils exist in one of four states: solid, semi-solid, plastic, and liquid.  As the moisture content of the soil changes, so does the state, which also changes the engineering properties.  Thus understanding at what moisture content the soil changes state is </w:t>
      </w:r>
      <w:r>
        <w:lastRenderedPageBreak/>
        <w:t>important.  The Atterberg limits have been established to determine at what moisture content the transition occurs between the various states.  As such, they are used to differentiate non-plastic soils (silts) from plastic soils (clays), and are thus required to classify soil.</w:t>
      </w:r>
    </w:p>
    <w:p w:rsidR="007E4D1D" w:rsidRDefault="007E4D1D" w:rsidP="003879F3"/>
    <w:p w:rsidR="007E4D1D" w:rsidRDefault="007E4D1D" w:rsidP="003879F3">
      <w:r>
        <w:t xml:space="preserve">There are three laboratory tests used to determine the Atterberg limits: the shrinkage limit (SL) test, the plastic limit (PL) test, and the liquid limit (LL) test.  The shrinkage limit test is described in </w:t>
      </w:r>
      <w:r w:rsidR="008578D2">
        <w:rPr>
          <w:color w:val="7030A0"/>
        </w:rPr>
        <w:t>ASTM D4943, Standard test method for Shrinkage Factors of Soils by the Wax Method.</w:t>
      </w:r>
      <w:r>
        <w:t xml:space="preserve">  The shrinkage limit, expressed in moisture content in percent to the nearest whole number, is used to help determine the shrinkage potential of cohesive soils.  This is the least co</w:t>
      </w:r>
      <w:r w:rsidR="003879F3">
        <w:t>mmonly used of the three tests.</w:t>
      </w:r>
    </w:p>
    <w:p w:rsidR="007E4D1D" w:rsidRDefault="007E4D1D" w:rsidP="003879F3"/>
    <w:p w:rsidR="007E4D1D" w:rsidRDefault="007E4D1D" w:rsidP="003879F3">
      <w:r>
        <w:t xml:space="preserve">The plastic limit is determined using AASHTO T 90, </w:t>
      </w:r>
      <w:r w:rsidRPr="003879F3">
        <w:rPr>
          <w:i/>
        </w:rPr>
        <w:t>Standard Method of Test for Determining the Plastic Limit and Plasticity Index of Soils</w:t>
      </w:r>
      <w:r>
        <w:t xml:space="preserve"> whereas the liquid limit is determined using AASHTO T 89, </w:t>
      </w:r>
      <w:r w:rsidRPr="003879F3">
        <w:rPr>
          <w:i/>
        </w:rPr>
        <w:t>Standard Method of Test for Determining the Liquid Limits of Soils</w:t>
      </w:r>
      <w:r>
        <w:t xml:space="preserve">.  These are common </w:t>
      </w:r>
      <w:r w:rsidR="007B2E80">
        <w:t>tests;</w:t>
      </w:r>
      <w:r>
        <w:t xml:space="preserve"> the results of </w:t>
      </w:r>
      <w:r w:rsidR="007B2E80">
        <w:t>which</w:t>
      </w:r>
      <w:r>
        <w:t xml:space="preserve"> </w:t>
      </w:r>
      <w:r w:rsidR="007B2E80">
        <w:t xml:space="preserve">are </w:t>
      </w:r>
      <w:r>
        <w:t>used to compute the plasticity index (PI), which is:</w:t>
      </w:r>
    </w:p>
    <w:p w:rsidR="007E4D1D" w:rsidRDefault="007E4D1D" w:rsidP="003879F3"/>
    <w:p w:rsidR="007E4D1D" w:rsidRPr="003879F3" w:rsidRDefault="003879F3" w:rsidP="003879F3">
      <w:pPr>
        <w:tabs>
          <w:tab w:val="center" w:pos="4680"/>
          <w:tab w:val="right" w:pos="9360"/>
        </w:tabs>
        <w:rPr>
          <w:rFonts w:eastAsiaTheme="minorEastAsia"/>
          <w:szCs w:val="24"/>
        </w:rPr>
      </w:pPr>
      <w:r>
        <w:rPr>
          <w:szCs w:val="24"/>
        </w:rPr>
        <w:tab/>
      </w:r>
      <m:oMath>
        <m:r>
          <w:rPr>
            <w:rFonts w:ascii="Cambria Math" w:eastAsiaTheme="minorEastAsia" w:hAnsi="Cambria Math" w:cstheme="minorBidi"/>
            <w:szCs w:val="24"/>
          </w:rPr>
          <m:t>PI=LL-PL</m:t>
        </m:r>
      </m:oMath>
      <w:r w:rsidRPr="003879F3">
        <w:rPr>
          <w:rFonts w:ascii="Arial" w:eastAsiaTheme="minorEastAsia" w:hAnsi="Arial" w:cstheme="minorBidi"/>
          <w:i/>
          <w:szCs w:val="24"/>
        </w:rPr>
        <w:tab/>
      </w:r>
      <w:r w:rsidRPr="003879F3">
        <w:rPr>
          <w:rFonts w:eastAsiaTheme="minorEastAsia"/>
          <w:szCs w:val="24"/>
        </w:rPr>
        <w:t>(</w:t>
      </w:r>
      <w:r w:rsidR="00402C07">
        <w:rPr>
          <w:rFonts w:eastAsiaTheme="minorEastAsia"/>
          <w:szCs w:val="24"/>
        </w:rPr>
        <w:t>3-</w:t>
      </w:r>
      <w:r w:rsidRPr="003879F3">
        <w:rPr>
          <w:rFonts w:eastAsiaTheme="minorEastAsia"/>
          <w:szCs w:val="24"/>
        </w:rPr>
        <w:t>2)</w:t>
      </w:r>
    </w:p>
    <w:p w:rsidR="003879F3" w:rsidRPr="00880980" w:rsidRDefault="003879F3" w:rsidP="003879F3">
      <w:pPr>
        <w:spacing w:before="120" w:after="120"/>
        <w:rPr>
          <w:szCs w:val="24"/>
        </w:rPr>
      </w:pPr>
      <w:r w:rsidRPr="00880980">
        <w:rPr>
          <w:szCs w:val="24"/>
        </w:rPr>
        <w:t>where:</w:t>
      </w:r>
    </w:p>
    <w:p w:rsidR="003879F3" w:rsidRPr="00AB5C09" w:rsidRDefault="003879F3" w:rsidP="003879F3">
      <w:pPr>
        <w:tabs>
          <w:tab w:val="right" w:pos="1080"/>
          <w:tab w:val="left" w:pos="1440"/>
          <w:tab w:val="left" w:pos="1800"/>
        </w:tabs>
        <w:ind w:left="1800" w:hanging="1800"/>
        <w:rPr>
          <w:szCs w:val="24"/>
        </w:rPr>
      </w:pPr>
      <w:r w:rsidRPr="00AB5C09">
        <w:rPr>
          <w:i/>
          <w:szCs w:val="24"/>
        </w:rPr>
        <w:tab/>
      </w:r>
      <w:r>
        <w:rPr>
          <w:i/>
          <w:szCs w:val="24"/>
        </w:rPr>
        <w:t>PI</w:t>
      </w:r>
      <w:r w:rsidRPr="00AB5C09">
        <w:rPr>
          <w:i/>
          <w:szCs w:val="24"/>
          <w:vertAlign w:val="subscript"/>
        </w:rPr>
        <w:tab/>
      </w:r>
      <w:r w:rsidRPr="00AB5C09">
        <w:rPr>
          <w:szCs w:val="24"/>
        </w:rPr>
        <w:t>=</w:t>
      </w:r>
      <w:r w:rsidRPr="00AB5C09">
        <w:rPr>
          <w:szCs w:val="24"/>
        </w:rPr>
        <w:tab/>
      </w:r>
      <w:r w:rsidR="00DF35C4">
        <w:rPr>
          <w:szCs w:val="24"/>
        </w:rPr>
        <w:t>Plasticity Index</w:t>
      </w:r>
    </w:p>
    <w:p w:rsidR="003879F3" w:rsidRPr="00AB5C09" w:rsidRDefault="003879F3" w:rsidP="003879F3">
      <w:pPr>
        <w:tabs>
          <w:tab w:val="right" w:pos="1080"/>
          <w:tab w:val="left" w:pos="1440"/>
          <w:tab w:val="left" w:pos="1800"/>
        </w:tabs>
        <w:ind w:left="1800" w:hanging="1800"/>
        <w:rPr>
          <w:szCs w:val="24"/>
        </w:rPr>
      </w:pPr>
      <w:r w:rsidRPr="00AB5C09">
        <w:rPr>
          <w:i/>
          <w:szCs w:val="24"/>
        </w:rPr>
        <w:tab/>
      </w:r>
      <w:r>
        <w:rPr>
          <w:i/>
          <w:szCs w:val="24"/>
        </w:rPr>
        <w:t>LL</w:t>
      </w:r>
      <w:r w:rsidRPr="00AB5C09">
        <w:rPr>
          <w:szCs w:val="24"/>
        </w:rPr>
        <w:tab/>
        <w:t>=</w:t>
      </w:r>
      <w:r w:rsidRPr="00AB5C09">
        <w:rPr>
          <w:szCs w:val="24"/>
        </w:rPr>
        <w:tab/>
      </w:r>
      <w:r w:rsidR="00DF35C4">
        <w:rPr>
          <w:szCs w:val="24"/>
        </w:rPr>
        <w:t>Liquid Limit</w:t>
      </w:r>
    </w:p>
    <w:p w:rsidR="003879F3" w:rsidRPr="00AB5C09" w:rsidRDefault="003879F3" w:rsidP="003879F3">
      <w:pPr>
        <w:tabs>
          <w:tab w:val="right" w:pos="1080"/>
          <w:tab w:val="left" w:pos="1440"/>
          <w:tab w:val="left" w:pos="1800"/>
        </w:tabs>
        <w:ind w:left="1800" w:hanging="1800"/>
        <w:rPr>
          <w:szCs w:val="24"/>
        </w:rPr>
      </w:pPr>
      <w:r w:rsidRPr="00AB5C09">
        <w:rPr>
          <w:i/>
          <w:szCs w:val="24"/>
        </w:rPr>
        <w:tab/>
      </w:r>
      <w:r>
        <w:rPr>
          <w:i/>
          <w:szCs w:val="24"/>
        </w:rPr>
        <w:t>PL</w:t>
      </w:r>
      <w:r w:rsidRPr="00AB5C09">
        <w:rPr>
          <w:szCs w:val="24"/>
        </w:rPr>
        <w:tab/>
        <w:t>=</w:t>
      </w:r>
      <w:r w:rsidRPr="00AB5C09">
        <w:rPr>
          <w:szCs w:val="24"/>
        </w:rPr>
        <w:tab/>
      </w:r>
      <w:r w:rsidR="00DF35C4">
        <w:rPr>
          <w:szCs w:val="24"/>
        </w:rPr>
        <w:t>Plastic Limit</w:t>
      </w:r>
    </w:p>
    <w:p w:rsidR="00D32CED" w:rsidRDefault="00D32CED" w:rsidP="003879F3"/>
    <w:p w:rsidR="00D32CED" w:rsidRDefault="00D32CED" w:rsidP="003879F3">
      <w:r>
        <w:t>The liquid limit test involves a piece of equipment called the Casagrande device</w:t>
      </w:r>
      <w:r w:rsidR="00B37E5E">
        <w:t xml:space="preserve">.  </w:t>
      </w:r>
      <w:r w:rsidR="00820A59">
        <w:t xml:space="preserve">Moistened soil is molded into the cup, a </w:t>
      </w:r>
      <w:r w:rsidR="0069112D" w:rsidRPr="0069112D">
        <w:rPr>
          <w:color w:val="FF0000"/>
        </w:rPr>
        <w:t>standard</w:t>
      </w:r>
      <w:r w:rsidR="00820A59" w:rsidRPr="0069112D">
        <w:rPr>
          <w:color w:val="FF0000"/>
        </w:rPr>
        <w:t xml:space="preserve"> </w:t>
      </w:r>
      <w:r w:rsidR="00820A59">
        <w:t xml:space="preserve">groove is cut in the soil, and the cup is tapped 25 times against the base. </w:t>
      </w:r>
      <w:r w:rsidR="007122E1">
        <w:t xml:space="preserve"> </w:t>
      </w:r>
      <w:r w:rsidR="00596235">
        <w:t>The liquid limit is the moisture content at which the groove is closed</w:t>
      </w:r>
      <w:r w:rsidR="0069112D">
        <w:t xml:space="preserve"> </w:t>
      </w:r>
      <w:r w:rsidR="0069112D" w:rsidRPr="0069112D">
        <w:rPr>
          <w:color w:val="FF0000"/>
        </w:rPr>
        <w:t>for ½ inch</w:t>
      </w:r>
      <w:r w:rsidR="00596235">
        <w:t xml:space="preserve"> with 25 blows.</w:t>
      </w:r>
      <w:r w:rsidR="00820A59">
        <w:t xml:space="preserve">  </w:t>
      </w:r>
      <w:r w:rsidR="00596235">
        <w:t>The n</w:t>
      </w:r>
      <w:r w:rsidR="00820A59">
        <w:t xml:space="preserve">umber of blows needed to close the gap at multiple water contents can be </w:t>
      </w:r>
      <w:r w:rsidR="00596235">
        <w:t>determined by several trials,</w:t>
      </w:r>
      <w:r w:rsidR="00820A59">
        <w:t xml:space="preserve"> and the results</w:t>
      </w:r>
      <w:r w:rsidR="00596235">
        <w:t xml:space="preserve"> can be</w:t>
      </w:r>
      <w:r w:rsidR="00820A59">
        <w:t xml:space="preserve"> plotted to determine the exact liquid limit.</w:t>
      </w:r>
    </w:p>
    <w:p w:rsidR="00D32CED" w:rsidRDefault="00D32CED" w:rsidP="003879F3"/>
    <w:p w:rsidR="00D32CED" w:rsidRDefault="00D32CED" w:rsidP="003879F3">
      <w:r>
        <w:t xml:space="preserve">The plastic limit test involves rolling a piece of soil into a cylinder with a diameter of </w:t>
      </w:r>
      <w:r w:rsidR="007122E1">
        <w:t>1/8</w:t>
      </w:r>
      <w:r>
        <w:t xml:space="preserve"> </w:t>
      </w:r>
      <w:r w:rsidR="00DF35C4">
        <w:t>in.</w:t>
      </w:r>
      <w:r>
        <w:t xml:space="preserve">  The plastic limit is the water content at which the soil can be formed into the cylinder which just on the edge of crumbling.  At just the right water content, the cylinder should crumble into </w:t>
      </w:r>
      <w:r w:rsidR="00596235">
        <w:t xml:space="preserve">1/8 </w:t>
      </w:r>
      <w:r>
        <w:t>to 3/8</w:t>
      </w:r>
      <w:r w:rsidR="00583AC9">
        <w:t xml:space="preserve"> </w:t>
      </w:r>
      <w:r w:rsidR="00DF35C4">
        <w:t>in.</w:t>
      </w:r>
      <w:r>
        <w:t xml:space="preserve"> long segments.</w:t>
      </w:r>
    </w:p>
    <w:p w:rsidR="007122E1" w:rsidRPr="007122E1" w:rsidRDefault="007122E1" w:rsidP="007122E1"/>
    <w:p w:rsidR="007E4D1D" w:rsidRDefault="007E4D1D" w:rsidP="007122E1">
      <w:pPr>
        <w:pStyle w:val="Heading4"/>
      </w:pPr>
      <w:bookmarkStart w:id="13" w:name="_Toc295918604"/>
      <w:r>
        <w:t>Poisson’s ratio</w:t>
      </w:r>
      <w:bookmarkEnd w:id="13"/>
    </w:p>
    <w:p w:rsidR="007E4D1D" w:rsidRDefault="007E4D1D" w:rsidP="00450269">
      <w:r>
        <w:t xml:space="preserve">The Poisson’s ratio is the ratio of transverse strain to </w:t>
      </w:r>
      <w:r w:rsidR="007B2E80">
        <w:t xml:space="preserve">the </w:t>
      </w:r>
      <w:r>
        <w:t xml:space="preserve">longitudinal or axial strain, when loading is longitudinal or along the axis.  It is a simple way of expressing what is obvious for most materials, that when stretched in one direction, they get thinner in the other two directions or conversely, if compressed in one direction, it grows thicker in the other two directions.  Theoretically, the Poisson’s ratio is between -1.0 and 0.5, although for most </w:t>
      </w:r>
      <w:r w:rsidR="00CC33B0">
        <w:t xml:space="preserve">soil and aggregate </w:t>
      </w:r>
      <w:r>
        <w:t>materials it lies between 0.</w:t>
      </w:r>
      <w:r w:rsidR="00450269">
        <w:t>3</w:t>
      </w:r>
      <w:r>
        <w:t xml:space="preserve"> and 0.5</w:t>
      </w:r>
      <w:r w:rsidR="00450269">
        <w:t xml:space="preserve"> (e.g., ~ 0.40 for crushed aggregate base, ~0.45 for fine-grained soil)</w:t>
      </w:r>
      <w:r>
        <w:t>.</w:t>
      </w:r>
    </w:p>
    <w:p w:rsidR="00EF5F9A" w:rsidRDefault="00EF5F9A" w:rsidP="007122E1"/>
    <w:p w:rsidR="007E4D1D" w:rsidRDefault="007E4D1D" w:rsidP="007122E1">
      <w:pPr>
        <w:pStyle w:val="Heading4"/>
      </w:pPr>
      <w:bookmarkStart w:id="14" w:name="_Toc295918605"/>
      <w:r>
        <w:t>Resilient modulus</w:t>
      </w:r>
      <w:bookmarkEnd w:id="14"/>
    </w:p>
    <w:p w:rsidR="007E4D1D" w:rsidRDefault="007E4D1D" w:rsidP="007122E1">
      <w:r>
        <w:t>The resilient modulus of a soil or aggregate (M</w:t>
      </w:r>
      <w:r>
        <w:rPr>
          <w:vertAlign w:val="subscript"/>
        </w:rPr>
        <w:t>R</w:t>
      </w:r>
      <w:r>
        <w:t>) is a common input into many paveme</w:t>
      </w:r>
      <w:r w:rsidR="009C3CFE">
        <w:t>nt design methods</w:t>
      </w:r>
      <w:r>
        <w:t xml:space="preserve">.  </w:t>
      </w:r>
      <w:r w:rsidR="004063A7">
        <w:t xml:space="preserve">The resilient modulus is the relationship between the stress applied from a repeated load or under traffic loading conditions and the recoverable strain.  </w:t>
      </w:r>
      <w:r>
        <w:t xml:space="preserve">Inherent in this definition is that the material being tested is behaving as an elastic material, an assumption that is true for </w:t>
      </w:r>
      <w:r>
        <w:lastRenderedPageBreak/>
        <w:t>soils and aggregates at low strain levels and/or under rapid rates of loading.  As such, the permanent strain (or deformation) is not included in the estimation of resilient modulus, but instead only that portion of the strain that is resilient (or recoverable).  This is valid for pavement design since subgrade and unstab</w:t>
      </w:r>
      <w:r w:rsidR="00E0021B">
        <w:t>i</w:t>
      </w:r>
      <w:r>
        <w:t>lized base materials are located deep within the pavement structure, and are thus subjected to reduced magnitude of loading, and because the fast moving vehicle imparts a rapid rate of loading.</w:t>
      </w:r>
    </w:p>
    <w:p w:rsidR="007E4D1D" w:rsidRDefault="007E4D1D" w:rsidP="00DD4233">
      <w:pPr>
        <w:adjustRightInd w:val="0"/>
        <w:rPr>
          <w:spacing w:val="-2"/>
        </w:rPr>
      </w:pPr>
    </w:p>
    <w:p w:rsidR="00595105" w:rsidRDefault="007E4D1D" w:rsidP="007122E1">
      <w:r>
        <w:t xml:space="preserve">Determining the resilient modulus of a soil or aggregate is not easy.  The </w:t>
      </w:r>
      <w:r w:rsidR="00FD3ABD">
        <w:rPr>
          <w:color w:val="7030A0"/>
        </w:rPr>
        <w:t xml:space="preserve">standard </w:t>
      </w:r>
      <w:r>
        <w:t xml:space="preserve">laboratory test method is described in AASHTO T 307, </w:t>
      </w:r>
      <w:r>
        <w:rPr>
          <w:i/>
        </w:rPr>
        <w:t>Standard Method of Test for Determining the Resilient Modulus of Soils and Aggregate Materials</w:t>
      </w:r>
      <w:r>
        <w:t xml:space="preserve">.  </w:t>
      </w:r>
      <w:r w:rsidR="00FD3ABD">
        <w:rPr>
          <w:color w:val="7030A0"/>
        </w:rPr>
        <w:t xml:space="preserve">Several other acceptable resilient modulus testing protocol exist, all </w:t>
      </w:r>
      <w:r w:rsidR="002558E1">
        <w:rPr>
          <w:color w:val="7030A0"/>
        </w:rPr>
        <w:t xml:space="preserve">using </w:t>
      </w:r>
      <w:r w:rsidR="00FD3ABD">
        <w:rPr>
          <w:color w:val="7030A0"/>
        </w:rPr>
        <w:t>t</w:t>
      </w:r>
      <w:r>
        <w:t xml:space="preserve">est specimens </w:t>
      </w:r>
      <w:r w:rsidR="002558E1">
        <w:t>c</w:t>
      </w:r>
      <w:r>
        <w:t>arefully prepared and cyclically tested in a triaxial cell using sophisticated servo-controlled equipment</w:t>
      </w:r>
      <w:r w:rsidR="00A2453D">
        <w:t>, as schematically shown in</w:t>
      </w:r>
      <w:r w:rsidR="005D69C9">
        <w:t xml:space="preserve"> </w:t>
      </w:r>
      <w:r w:rsidR="00F3038B">
        <w:t>Figure</w:t>
      </w:r>
      <w:r w:rsidR="00AA7638">
        <w:t xml:space="preserve"> 3-3</w:t>
      </w:r>
      <w:r w:rsidR="002558E1">
        <w:t xml:space="preserve"> </w:t>
      </w:r>
      <w:r w:rsidR="002558E1">
        <w:rPr>
          <w:color w:val="7030A0"/>
        </w:rPr>
        <w:t>(NCHRP 1-28A)</w:t>
      </w:r>
      <w:r w:rsidR="00AA7638">
        <w:t>.</w:t>
      </w:r>
      <w:r>
        <w:t xml:space="preserve">  The cylindrical specimen is confined within a membrane, and a confining pressure is applied and varied around the specimen as an axial load is applied (combined confining stress and cyclic deviator stress).  The res</w:t>
      </w:r>
      <w:r w:rsidR="005A3D1C">
        <w:t>ilient modulus is calculated as</w:t>
      </w:r>
      <w:r>
        <w:t>:</w:t>
      </w:r>
    </w:p>
    <w:p w:rsidR="007E4D1D" w:rsidRDefault="007E4D1D" w:rsidP="007122E1"/>
    <w:p w:rsidR="007E4D1D" w:rsidRPr="00EF5F9A" w:rsidRDefault="00EF5F9A" w:rsidP="00EF5F9A">
      <w:pPr>
        <w:tabs>
          <w:tab w:val="center" w:pos="4680"/>
          <w:tab w:val="right" w:pos="9360"/>
        </w:tabs>
        <w:rPr>
          <w:rFonts w:eastAsiaTheme="minorEastAsia"/>
          <w:szCs w:val="24"/>
        </w:rPr>
      </w:pPr>
      <w:r w:rsidRPr="00EF5F9A">
        <w:rPr>
          <w:rFonts w:ascii="Arial" w:eastAsiaTheme="minorEastAsia" w:hAnsi="Arial" w:cstheme="minorBidi"/>
          <w:i/>
          <w:szCs w:val="24"/>
        </w:rPr>
        <w:tab/>
      </w:r>
      <m:oMath>
        <m:sSub>
          <m:sSubPr>
            <m:ctrlPr>
              <w:rPr>
                <w:rFonts w:ascii="Cambria Math" w:eastAsiaTheme="minorEastAsia" w:hAnsi="Cambria Math" w:cstheme="minorBidi"/>
                <w:i/>
                <w:szCs w:val="24"/>
              </w:rPr>
            </m:ctrlPr>
          </m:sSubPr>
          <m:e>
            <m:r>
              <w:rPr>
                <w:rFonts w:ascii="Cambria Math" w:eastAsiaTheme="minorEastAsia" w:hAnsi="Cambria Math" w:cstheme="minorBidi"/>
                <w:szCs w:val="24"/>
              </w:rPr>
              <m:t>M</m:t>
            </m:r>
          </m:e>
          <m:sub>
            <m:r>
              <w:rPr>
                <w:rFonts w:ascii="Cambria Math" w:eastAsiaTheme="minorEastAsia" w:hAnsi="Cambria Math" w:cstheme="minorBidi"/>
                <w:szCs w:val="24"/>
              </w:rPr>
              <m:t>R</m:t>
            </m:r>
          </m:sub>
        </m:sSub>
        <m:r>
          <w:rPr>
            <w:rFonts w:ascii="Cambria Math" w:eastAsiaTheme="minorEastAsia" w:hAnsi="Cambria Math" w:cstheme="minorBidi"/>
            <w:szCs w:val="24"/>
          </w:rPr>
          <m:t xml:space="preserve">= </m:t>
        </m:r>
        <m:f>
          <m:fPr>
            <m:ctrlPr>
              <w:rPr>
                <w:rFonts w:ascii="Cambria Math" w:eastAsiaTheme="minorEastAsia" w:hAnsi="Cambria Math" w:cstheme="minorBidi"/>
                <w:i/>
                <w:szCs w:val="24"/>
              </w:rPr>
            </m:ctrlPr>
          </m:fPr>
          <m:num>
            <m:sSub>
              <m:sSubPr>
                <m:ctrlPr>
                  <w:rPr>
                    <w:rFonts w:ascii="Cambria Math" w:eastAsiaTheme="minorEastAsia" w:hAnsi="Cambria Math" w:cstheme="minorBidi"/>
                    <w:i/>
                    <w:szCs w:val="24"/>
                  </w:rPr>
                </m:ctrlPr>
              </m:sSubPr>
              <m:e>
                <m:r>
                  <w:rPr>
                    <w:rFonts w:ascii="Cambria Math" w:eastAsiaTheme="minorEastAsia" w:hAnsi="Cambria Math" w:cstheme="minorBidi"/>
                    <w:szCs w:val="24"/>
                  </w:rPr>
                  <m:t>σ</m:t>
                </m:r>
              </m:e>
              <m:sub>
                <m:r>
                  <w:rPr>
                    <w:rFonts w:ascii="Cambria Math" w:eastAsiaTheme="minorEastAsia" w:hAnsi="Cambria Math" w:cstheme="minorBidi"/>
                    <w:szCs w:val="24"/>
                  </w:rPr>
                  <m:t>d</m:t>
                </m:r>
              </m:sub>
            </m:sSub>
          </m:num>
          <m:den>
            <m:sSub>
              <m:sSubPr>
                <m:ctrlPr>
                  <w:rPr>
                    <w:rFonts w:ascii="Cambria Math" w:eastAsiaTheme="minorEastAsia" w:hAnsi="Cambria Math" w:cstheme="minorBidi"/>
                    <w:i/>
                    <w:szCs w:val="24"/>
                  </w:rPr>
                </m:ctrlPr>
              </m:sSubPr>
              <m:e>
                <m:r>
                  <w:rPr>
                    <w:rFonts w:ascii="Cambria Math" w:eastAsiaTheme="minorEastAsia" w:hAnsi="Cambria Math" w:cstheme="minorBidi"/>
                    <w:szCs w:val="24"/>
                  </w:rPr>
                  <m:t>ε</m:t>
                </m:r>
              </m:e>
              <m:sub>
                <m:r>
                  <w:rPr>
                    <w:rFonts w:ascii="Cambria Math" w:eastAsiaTheme="minorEastAsia" w:hAnsi="Cambria Math" w:cstheme="minorBidi"/>
                    <w:szCs w:val="24"/>
                  </w:rPr>
                  <m:t>r</m:t>
                </m:r>
              </m:sub>
            </m:sSub>
          </m:den>
        </m:f>
      </m:oMath>
      <w:r w:rsidRPr="00EF5F9A">
        <w:rPr>
          <w:rFonts w:ascii="Arial" w:eastAsiaTheme="minorEastAsia" w:hAnsi="Arial" w:cstheme="minorBidi"/>
          <w:i/>
          <w:szCs w:val="24"/>
        </w:rPr>
        <w:tab/>
      </w:r>
      <w:r w:rsidRPr="00EF5F9A">
        <w:rPr>
          <w:rFonts w:eastAsiaTheme="minorEastAsia"/>
          <w:szCs w:val="24"/>
        </w:rPr>
        <w:t>(</w:t>
      </w:r>
      <w:r w:rsidR="00402C07">
        <w:rPr>
          <w:rFonts w:eastAsiaTheme="minorEastAsia"/>
          <w:szCs w:val="24"/>
        </w:rPr>
        <w:t>3-</w:t>
      </w:r>
      <w:r w:rsidRPr="00EF5F9A">
        <w:rPr>
          <w:rFonts w:eastAsiaTheme="minorEastAsia"/>
          <w:szCs w:val="24"/>
        </w:rPr>
        <w:t>3)</w:t>
      </w:r>
    </w:p>
    <w:p w:rsidR="007E4D1D" w:rsidRDefault="007E4D1D" w:rsidP="00DD4233">
      <w:pPr>
        <w:adjustRightInd w:val="0"/>
        <w:rPr>
          <w:spacing w:val="-2"/>
        </w:rPr>
      </w:pPr>
    </w:p>
    <w:p w:rsidR="007E4D1D" w:rsidRPr="007122E1" w:rsidRDefault="001E31DB" w:rsidP="007122E1">
      <w:pPr>
        <w:spacing w:before="120" w:after="120"/>
        <w:rPr>
          <w:szCs w:val="24"/>
        </w:rPr>
      </w:pPr>
      <w:r>
        <w:rPr>
          <w:szCs w:val="24"/>
        </w:rPr>
        <w:t>where:</w:t>
      </w:r>
    </w:p>
    <w:p w:rsidR="007E4D1D" w:rsidRPr="007122E1" w:rsidRDefault="007E4D1D" w:rsidP="007122E1">
      <w:pPr>
        <w:tabs>
          <w:tab w:val="right" w:pos="1080"/>
          <w:tab w:val="left" w:pos="1440"/>
          <w:tab w:val="left" w:pos="1800"/>
        </w:tabs>
        <w:ind w:left="1800" w:hanging="1800"/>
        <w:rPr>
          <w:szCs w:val="24"/>
        </w:rPr>
      </w:pPr>
      <w:r w:rsidRPr="007122E1">
        <w:rPr>
          <w:szCs w:val="24"/>
        </w:rPr>
        <w:tab/>
      </w:r>
      <w:r w:rsidRPr="00EF5F9A">
        <w:rPr>
          <w:i/>
          <w:szCs w:val="24"/>
        </w:rPr>
        <w:t>M</w:t>
      </w:r>
      <w:r w:rsidR="00EF5F9A" w:rsidRPr="00EF5F9A">
        <w:rPr>
          <w:i/>
          <w:szCs w:val="24"/>
          <w:vertAlign w:val="subscript"/>
        </w:rPr>
        <w:t>R</w:t>
      </w:r>
      <w:r w:rsidR="00EF5F9A">
        <w:rPr>
          <w:szCs w:val="24"/>
        </w:rPr>
        <w:tab/>
        <w:t>=</w:t>
      </w:r>
      <w:r w:rsidR="00EF5F9A">
        <w:rPr>
          <w:szCs w:val="24"/>
        </w:rPr>
        <w:tab/>
        <w:t>R</w:t>
      </w:r>
      <w:r w:rsidRPr="007122E1">
        <w:rPr>
          <w:szCs w:val="24"/>
        </w:rPr>
        <w:t>esilient modulus, psi</w:t>
      </w:r>
    </w:p>
    <w:p w:rsidR="007E4D1D" w:rsidRPr="007122E1" w:rsidRDefault="007E4D1D" w:rsidP="007122E1">
      <w:pPr>
        <w:tabs>
          <w:tab w:val="right" w:pos="1080"/>
          <w:tab w:val="left" w:pos="1440"/>
          <w:tab w:val="left" w:pos="1800"/>
        </w:tabs>
        <w:ind w:left="1800" w:hanging="1800"/>
        <w:rPr>
          <w:szCs w:val="24"/>
        </w:rPr>
      </w:pPr>
      <w:r w:rsidRPr="007122E1">
        <w:rPr>
          <w:szCs w:val="24"/>
        </w:rPr>
        <w:tab/>
      </w:r>
      <w:r w:rsidRPr="00EF5F9A">
        <w:rPr>
          <w:i/>
          <w:szCs w:val="24"/>
        </w:rPr>
        <w:t>σ</w:t>
      </w:r>
      <w:r w:rsidRPr="00EF5F9A">
        <w:rPr>
          <w:i/>
          <w:szCs w:val="24"/>
          <w:vertAlign w:val="subscript"/>
        </w:rPr>
        <w:t>d</w:t>
      </w:r>
      <w:r w:rsidR="00EF5F9A">
        <w:rPr>
          <w:szCs w:val="24"/>
        </w:rPr>
        <w:tab/>
        <w:t>=</w:t>
      </w:r>
      <w:r w:rsidR="00EF5F9A">
        <w:rPr>
          <w:szCs w:val="24"/>
        </w:rPr>
        <w:tab/>
        <w:t>C</w:t>
      </w:r>
      <w:r w:rsidRPr="007122E1">
        <w:rPr>
          <w:szCs w:val="24"/>
        </w:rPr>
        <w:t>yclic deviator stress, psi</w:t>
      </w:r>
    </w:p>
    <w:p w:rsidR="007E4D1D" w:rsidRDefault="007E4D1D" w:rsidP="007122E1">
      <w:pPr>
        <w:tabs>
          <w:tab w:val="right" w:pos="1080"/>
          <w:tab w:val="left" w:pos="1440"/>
          <w:tab w:val="left" w:pos="1800"/>
        </w:tabs>
        <w:ind w:left="1800" w:hanging="1800"/>
        <w:rPr>
          <w:szCs w:val="24"/>
        </w:rPr>
      </w:pPr>
      <w:r w:rsidRPr="007122E1">
        <w:rPr>
          <w:szCs w:val="24"/>
        </w:rPr>
        <w:tab/>
      </w:r>
      <w:r w:rsidRPr="00EF5F9A">
        <w:rPr>
          <w:i/>
          <w:szCs w:val="24"/>
        </w:rPr>
        <w:t>ε</w:t>
      </w:r>
      <w:r w:rsidRPr="00EF5F9A">
        <w:rPr>
          <w:i/>
          <w:szCs w:val="24"/>
          <w:vertAlign w:val="subscript"/>
        </w:rPr>
        <w:t>r</w:t>
      </w:r>
      <w:r w:rsidR="00EF5F9A">
        <w:rPr>
          <w:szCs w:val="24"/>
          <w:vertAlign w:val="subscript"/>
        </w:rPr>
        <w:tab/>
      </w:r>
      <w:r w:rsidR="00EF5F9A">
        <w:rPr>
          <w:szCs w:val="24"/>
        </w:rPr>
        <w:t>=</w:t>
      </w:r>
      <w:r w:rsidR="00EF5F9A">
        <w:rPr>
          <w:szCs w:val="24"/>
        </w:rPr>
        <w:tab/>
        <w:t>R</w:t>
      </w:r>
      <w:r w:rsidRPr="007122E1">
        <w:rPr>
          <w:szCs w:val="24"/>
        </w:rPr>
        <w:t xml:space="preserve">ecoverable axial strain, </w:t>
      </w:r>
      <w:r w:rsidR="00DF35C4">
        <w:rPr>
          <w:szCs w:val="24"/>
        </w:rPr>
        <w:t>in</w:t>
      </w:r>
      <w:r w:rsidRPr="007122E1">
        <w:rPr>
          <w:szCs w:val="24"/>
        </w:rPr>
        <w:t>/</w:t>
      </w:r>
      <w:r w:rsidR="00DF35C4">
        <w:rPr>
          <w:szCs w:val="24"/>
        </w:rPr>
        <w:t>in</w:t>
      </w:r>
      <w:r w:rsidR="001E31DB">
        <w:rPr>
          <w:szCs w:val="24"/>
        </w:rPr>
        <w:t>.</w:t>
      </w:r>
    </w:p>
    <w:p w:rsidR="007122E1" w:rsidRDefault="007122E1" w:rsidP="007122E1">
      <w:pPr>
        <w:tabs>
          <w:tab w:val="right" w:pos="1080"/>
          <w:tab w:val="left" w:pos="1440"/>
          <w:tab w:val="left" w:pos="1800"/>
        </w:tabs>
        <w:ind w:left="1800" w:hanging="1800"/>
        <w:rPr>
          <w:szCs w:val="24"/>
        </w:rPr>
      </w:pPr>
    </w:p>
    <w:p w:rsidR="004063A7" w:rsidRDefault="004063A7" w:rsidP="004063A7">
      <w:r>
        <w:t xml:space="preserve">The resilient modulus of a soil or aggregate is dependent on many factors including the type of material, the density, moisture content, and stress state.  The material properties are controlled through careful specimen preparation.  As these materials are known to be “stress-sensitive,” meaning that the resilient modulus changes as the stress state is varied, the testing protocol is run at various confining stresses and deviator stresses.  In a design method such as the AASHTO </w:t>
      </w:r>
      <w:r w:rsidR="00151B75">
        <w:t>Mechanistic-Empirical Pavement Design Guide (</w:t>
      </w:r>
      <w:r>
        <w:t>MEPDG</w:t>
      </w:r>
      <w:r w:rsidR="00151B75">
        <w:t>)</w:t>
      </w:r>
      <w:r>
        <w:t>, the collected data is used to establish elastic response coefficients for the universal constitutive model, which can be expressed as:</w:t>
      </w:r>
    </w:p>
    <w:p w:rsidR="004063A7" w:rsidRPr="00EF5F9A" w:rsidRDefault="004063A7" w:rsidP="004063A7"/>
    <w:p w:rsidR="004063A7" w:rsidRPr="00EF5F9A" w:rsidRDefault="004063A7" w:rsidP="004063A7">
      <w:pPr>
        <w:tabs>
          <w:tab w:val="center" w:pos="4680"/>
          <w:tab w:val="right" w:pos="9360"/>
        </w:tabs>
        <w:rPr>
          <w:rFonts w:eastAsiaTheme="minorEastAsia"/>
          <w:szCs w:val="24"/>
        </w:rPr>
      </w:pPr>
      <w:r>
        <w:rPr>
          <w:szCs w:val="24"/>
        </w:rPr>
        <w:tab/>
      </w:r>
      <m:oMath>
        <m:sSub>
          <m:sSubPr>
            <m:ctrlPr>
              <w:rPr>
                <w:rFonts w:ascii="Cambria Math" w:eastAsiaTheme="minorEastAsia" w:hAnsi="Cambria Math" w:cstheme="minorBidi"/>
                <w:i/>
                <w:szCs w:val="24"/>
              </w:rPr>
            </m:ctrlPr>
          </m:sSubPr>
          <m:e>
            <m:r>
              <w:rPr>
                <w:rFonts w:ascii="Cambria Math" w:eastAsiaTheme="minorEastAsia" w:hAnsi="Cambria Math" w:cstheme="minorBidi"/>
                <w:szCs w:val="24"/>
              </w:rPr>
              <m:t>M</m:t>
            </m:r>
          </m:e>
          <m:sub>
            <m:r>
              <w:rPr>
                <w:rFonts w:ascii="Cambria Math" w:eastAsiaTheme="minorEastAsia" w:hAnsi="Cambria Math" w:cstheme="minorBidi"/>
                <w:szCs w:val="24"/>
              </w:rPr>
              <m:t>R</m:t>
            </m:r>
          </m:sub>
        </m:sSub>
        <m:r>
          <w:rPr>
            <w:rFonts w:ascii="Cambria Math" w:eastAsiaTheme="minorEastAsia" w:hAnsi="Cambria Math" w:cstheme="minorBidi"/>
            <w:szCs w:val="24"/>
          </w:rPr>
          <m:t xml:space="preserve">= </m:t>
        </m:r>
        <m:sSub>
          <m:sSubPr>
            <m:ctrlPr>
              <w:rPr>
                <w:rFonts w:ascii="Cambria Math" w:eastAsiaTheme="minorEastAsia" w:hAnsi="Cambria Math" w:cstheme="minorBidi"/>
                <w:i/>
                <w:szCs w:val="24"/>
              </w:rPr>
            </m:ctrlPr>
          </m:sSubPr>
          <m:e>
            <m:r>
              <w:rPr>
                <w:rFonts w:ascii="Cambria Math" w:eastAsiaTheme="minorEastAsia" w:hAnsi="Cambria Math" w:cstheme="minorBidi"/>
                <w:szCs w:val="24"/>
              </w:rPr>
              <m:t>k</m:t>
            </m:r>
          </m:e>
          <m:sub>
            <m:r>
              <w:rPr>
                <w:rFonts w:ascii="Cambria Math" w:eastAsiaTheme="minorEastAsia" w:hAnsi="Cambria Math" w:cstheme="minorBidi"/>
                <w:szCs w:val="24"/>
              </w:rPr>
              <m:t>1</m:t>
            </m:r>
          </m:sub>
        </m:sSub>
        <m:sSub>
          <m:sSubPr>
            <m:ctrlPr>
              <w:rPr>
                <w:rFonts w:ascii="Cambria Math" w:eastAsiaTheme="minorEastAsia" w:hAnsi="Cambria Math" w:cstheme="minorBidi"/>
                <w:i/>
                <w:szCs w:val="24"/>
              </w:rPr>
            </m:ctrlPr>
          </m:sSubPr>
          <m:e>
            <m:r>
              <w:rPr>
                <w:rFonts w:ascii="Cambria Math" w:eastAsiaTheme="minorEastAsia" w:hAnsi="Cambria Math" w:cstheme="minorBidi"/>
                <w:szCs w:val="24"/>
              </w:rPr>
              <m:t>P</m:t>
            </m:r>
          </m:e>
          <m:sub>
            <m:r>
              <w:rPr>
                <w:rFonts w:ascii="Cambria Math" w:eastAsiaTheme="minorEastAsia" w:hAnsi="Cambria Math" w:cstheme="minorBidi"/>
                <w:szCs w:val="24"/>
              </w:rPr>
              <m:t>a</m:t>
            </m:r>
          </m:sub>
        </m:sSub>
        <m:sSup>
          <m:sSupPr>
            <m:ctrlPr>
              <w:rPr>
                <w:rFonts w:ascii="Cambria Math" w:eastAsiaTheme="minorEastAsia" w:hAnsi="Cambria Math" w:cstheme="minorBidi"/>
                <w:i/>
                <w:szCs w:val="24"/>
              </w:rPr>
            </m:ctrlPr>
          </m:sSupPr>
          <m:e>
            <m:d>
              <m:dPr>
                <m:ctrlPr>
                  <w:rPr>
                    <w:rFonts w:ascii="Cambria Math" w:eastAsiaTheme="minorEastAsia" w:hAnsi="Cambria Math" w:cstheme="minorBidi"/>
                    <w:i/>
                    <w:szCs w:val="24"/>
                  </w:rPr>
                </m:ctrlPr>
              </m:dPr>
              <m:e>
                <m:f>
                  <m:fPr>
                    <m:ctrlPr>
                      <w:rPr>
                        <w:rFonts w:ascii="Cambria Math" w:eastAsiaTheme="minorEastAsia" w:hAnsi="Cambria Math" w:cstheme="minorBidi"/>
                        <w:i/>
                        <w:szCs w:val="24"/>
                      </w:rPr>
                    </m:ctrlPr>
                  </m:fPr>
                  <m:num>
                    <m:r>
                      <w:rPr>
                        <w:rFonts w:ascii="Cambria Math" w:eastAsiaTheme="minorEastAsia" w:hAnsi="Cambria Math" w:cstheme="minorBidi"/>
                        <w:szCs w:val="24"/>
                      </w:rPr>
                      <m:t>θ</m:t>
                    </m:r>
                  </m:num>
                  <m:den>
                    <m:sSub>
                      <m:sSubPr>
                        <m:ctrlPr>
                          <w:rPr>
                            <w:rFonts w:ascii="Cambria Math" w:eastAsiaTheme="minorEastAsia" w:hAnsi="Cambria Math" w:cstheme="minorBidi"/>
                            <w:i/>
                            <w:szCs w:val="24"/>
                          </w:rPr>
                        </m:ctrlPr>
                      </m:sSubPr>
                      <m:e>
                        <m:r>
                          <w:rPr>
                            <w:rFonts w:ascii="Cambria Math" w:eastAsiaTheme="minorEastAsia" w:hAnsi="Cambria Math" w:cstheme="minorBidi"/>
                            <w:szCs w:val="24"/>
                          </w:rPr>
                          <m:t>P</m:t>
                        </m:r>
                      </m:e>
                      <m:sub>
                        <m:r>
                          <w:rPr>
                            <w:rFonts w:ascii="Cambria Math" w:eastAsiaTheme="minorEastAsia" w:hAnsi="Cambria Math" w:cstheme="minorBidi"/>
                            <w:szCs w:val="24"/>
                          </w:rPr>
                          <m:t>a</m:t>
                        </m:r>
                      </m:sub>
                    </m:sSub>
                  </m:den>
                </m:f>
              </m:e>
            </m:d>
          </m:e>
          <m:sup>
            <m:sSub>
              <m:sSubPr>
                <m:ctrlPr>
                  <w:rPr>
                    <w:rFonts w:ascii="Cambria Math" w:eastAsiaTheme="minorEastAsia" w:hAnsi="Cambria Math" w:cstheme="minorBidi"/>
                    <w:i/>
                    <w:szCs w:val="24"/>
                  </w:rPr>
                </m:ctrlPr>
              </m:sSubPr>
              <m:e>
                <m:r>
                  <w:rPr>
                    <w:rFonts w:ascii="Cambria Math" w:eastAsiaTheme="minorEastAsia" w:hAnsi="Cambria Math" w:cstheme="minorBidi"/>
                    <w:szCs w:val="24"/>
                  </w:rPr>
                  <m:t>k</m:t>
                </m:r>
              </m:e>
              <m:sub>
                <m:r>
                  <w:rPr>
                    <w:rFonts w:ascii="Cambria Math" w:eastAsiaTheme="minorEastAsia" w:hAnsi="Cambria Math" w:cstheme="minorBidi"/>
                    <w:szCs w:val="24"/>
                  </w:rPr>
                  <m:t>2</m:t>
                </m:r>
              </m:sub>
            </m:sSub>
          </m:sup>
        </m:sSup>
        <m:sSup>
          <m:sSupPr>
            <m:ctrlPr>
              <w:rPr>
                <w:rFonts w:ascii="Cambria Math" w:eastAsiaTheme="minorEastAsia" w:hAnsi="Cambria Math" w:cstheme="minorBidi"/>
                <w:i/>
                <w:szCs w:val="24"/>
              </w:rPr>
            </m:ctrlPr>
          </m:sSupPr>
          <m:e>
            <m:d>
              <m:dPr>
                <m:ctrlPr>
                  <w:rPr>
                    <w:rFonts w:ascii="Cambria Math" w:eastAsiaTheme="minorEastAsia" w:hAnsi="Cambria Math" w:cstheme="minorBidi"/>
                    <w:i/>
                    <w:szCs w:val="24"/>
                  </w:rPr>
                </m:ctrlPr>
              </m:dPr>
              <m:e>
                <m:f>
                  <m:fPr>
                    <m:ctrlPr>
                      <w:rPr>
                        <w:rFonts w:ascii="Cambria Math" w:eastAsiaTheme="minorEastAsia" w:hAnsi="Cambria Math" w:cstheme="minorBidi"/>
                        <w:i/>
                        <w:szCs w:val="24"/>
                      </w:rPr>
                    </m:ctrlPr>
                  </m:fPr>
                  <m:num>
                    <m:sSub>
                      <m:sSubPr>
                        <m:ctrlPr>
                          <w:rPr>
                            <w:rFonts w:ascii="Cambria Math" w:eastAsiaTheme="minorEastAsia" w:hAnsi="Cambria Math" w:cstheme="minorBidi"/>
                            <w:i/>
                            <w:szCs w:val="24"/>
                          </w:rPr>
                        </m:ctrlPr>
                      </m:sSubPr>
                      <m:e>
                        <m:r>
                          <w:rPr>
                            <w:rFonts w:ascii="Cambria Math" w:eastAsiaTheme="minorEastAsia" w:hAnsi="Cambria Math" w:cstheme="minorBidi"/>
                            <w:szCs w:val="24"/>
                          </w:rPr>
                          <m:t>σ</m:t>
                        </m:r>
                      </m:e>
                      <m:sub>
                        <m:r>
                          <w:rPr>
                            <w:rFonts w:ascii="Cambria Math" w:eastAsiaTheme="minorEastAsia" w:hAnsi="Cambria Math" w:cstheme="minorBidi"/>
                            <w:szCs w:val="24"/>
                          </w:rPr>
                          <m:t>d</m:t>
                        </m:r>
                      </m:sub>
                    </m:sSub>
                  </m:num>
                  <m:den>
                    <m:sSub>
                      <m:sSubPr>
                        <m:ctrlPr>
                          <w:rPr>
                            <w:rFonts w:ascii="Cambria Math" w:eastAsiaTheme="minorEastAsia" w:hAnsi="Cambria Math" w:cstheme="minorBidi"/>
                            <w:i/>
                            <w:szCs w:val="24"/>
                          </w:rPr>
                        </m:ctrlPr>
                      </m:sSubPr>
                      <m:e>
                        <m:r>
                          <w:rPr>
                            <w:rFonts w:ascii="Cambria Math" w:eastAsiaTheme="minorEastAsia" w:hAnsi="Cambria Math" w:cstheme="minorBidi"/>
                            <w:szCs w:val="24"/>
                          </w:rPr>
                          <m:t>P</m:t>
                        </m:r>
                      </m:e>
                      <m:sub>
                        <m:r>
                          <w:rPr>
                            <w:rFonts w:ascii="Cambria Math" w:eastAsiaTheme="minorEastAsia" w:hAnsi="Cambria Math" w:cstheme="minorBidi"/>
                            <w:szCs w:val="24"/>
                          </w:rPr>
                          <m:t>a</m:t>
                        </m:r>
                      </m:sub>
                    </m:sSub>
                  </m:den>
                </m:f>
              </m:e>
            </m:d>
          </m:e>
          <m:sup>
            <m:sSub>
              <m:sSubPr>
                <m:ctrlPr>
                  <w:rPr>
                    <w:rFonts w:ascii="Cambria Math" w:eastAsiaTheme="minorEastAsia" w:hAnsi="Cambria Math" w:cstheme="minorBidi"/>
                    <w:i/>
                    <w:szCs w:val="24"/>
                  </w:rPr>
                </m:ctrlPr>
              </m:sSubPr>
              <m:e>
                <m:r>
                  <w:rPr>
                    <w:rFonts w:ascii="Cambria Math" w:eastAsiaTheme="minorEastAsia" w:hAnsi="Cambria Math" w:cstheme="minorBidi"/>
                    <w:szCs w:val="24"/>
                  </w:rPr>
                  <m:t>k</m:t>
                </m:r>
              </m:e>
              <m:sub>
                <m:r>
                  <w:rPr>
                    <w:rFonts w:ascii="Cambria Math" w:eastAsiaTheme="minorEastAsia" w:hAnsi="Cambria Math" w:cstheme="minorBidi"/>
                    <w:szCs w:val="24"/>
                  </w:rPr>
                  <m:t>3</m:t>
                </m:r>
              </m:sub>
            </m:sSub>
          </m:sup>
        </m:sSup>
      </m:oMath>
      <w:r w:rsidRPr="00EF5F9A">
        <w:rPr>
          <w:rFonts w:ascii="Arial" w:eastAsiaTheme="minorEastAsia" w:hAnsi="Arial" w:cstheme="minorBidi"/>
          <w:i/>
          <w:szCs w:val="24"/>
        </w:rPr>
        <w:tab/>
      </w:r>
      <w:r w:rsidRPr="00EF5F9A">
        <w:rPr>
          <w:rFonts w:eastAsiaTheme="minorEastAsia"/>
          <w:szCs w:val="24"/>
        </w:rPr>
        <w:t>(</w:t>
      </w:r>
      <w:r>
        <w:rPr>
          <w:rFonts w:eastAsiaTheme="minorEastAsia"/>
          <w:szCs w:val="24"/>
        </w:rPr>
        <w:t>3-</w:t>
      </w:r>
      <w:r w:rsidRPr="00EF5F9A">
        <w:rPr>
          <w:rFonts w:eastAsiaTheme="minorEastAsia"/>
          <w:szCs w:val="24"/>
        </w:rPr>
        <w:t>4)</w:t>
      </w:r>
    </w:p>
    <w:p w:rsidR="007122E1" w:rsidRDefault="007122E1" w:rsidP="007122E1">
      <w:pPr>
        <w:tabs>
          <w:tab w:val="right" w:pos="1080"/>
          <w:tab w:val="left" w:pos="1440"/>
          <w:tab w:val="left" w:pos="1800"/>
        </w:tabs>
        <w:ind w:left="1800" w:hanging="1800"/>
        <w:rPr>
          <w:szCs w:val="24"/>
        </w:rPr>
      </w:pPr>
    </w:p>
    <w:p w:rsidR="004063A7" w:rsidRDefault="004063A7" w:rsidP="004063A7">
      <w:r>
        <w:t>Which is often simplified to:</w:t>
      </w:r>
    </w:p>
    <w:p w:rsidR="004063A7" w:rsidRDefault="004063A7" w:rsidP="004063A7">
      <w:pPr>
        <w:adjustRightInd w:val="0"/>
        <w:rPr>
          <w:spacing w:val="-2"/>
        </w:rPr>
      </w:pPr>
    </w:p>
    <w:p w:rsidR="004063A7" w:rsidRPr="00EF5F9A" w:rsidRDefault="004063A7" w:rsidP="004063A7">
      <w:pPr>
        <w:tabs>
          <w:tab w:val="center" w:pos="4680"/>
          <w:tab w:val="right" w:pos="9360"/>
        </w:tabs>
        <w:rPr>
          <w:rFonts w:ascii="Cambria Math" w:eastAsiaTheme="minorEastAsia" w:hAnsi="Cambria Math" w:cstheme="minorBidi"/>
          <w:i/>
          <w:szCs w:val="24"/>
        </w:rPr>
      </w:pPr>
      <w:r>
        <w:rPr>
          <w:szCs w:val="24"/>
        </w:rPr>
        <w:tab/>
      </w:r>
      <m:oMath>
        <m:sSub>
          <m:sSubPr>
            <m:ctrlPr>
              <w:rPr>
                <w:rFonts w:ascii="Cambria Math" w:eastAsiaTheme="minorEastAsia" w:hAnsi="Cambria Math" w:cstheme="minorBidi"/>
                <w:i/>
                <w:szCs w:val="24"/>
              </w:rPr>
            </m:ctrlPr>
          </m:sSubPr>
          <m:e>
            <m:r>
              <w:rPr>
                <w:rFonts w:ascii="Cambria Math" w:eastAsiaTheme="minorEastAsia" w:hAnsi="Cambria Math" w:cstheme="minorBidi"/>
                <w:szCs w:val="24"/>
              </w:rPr>
              <m:t>M</m:t>
            </m:r>
          </m:e>
          <m:sub>
            <m:r>
              <w:rPr>
                <w:rFonts w:ascii="Cambria Math" w:eastAsiaTheme="minorEastAsia" w:hAnsi="Cambria Math" w:cstheme="minorBidi"/>
                <w:szCs w:val="24"/>
              </w:rPr>
              <m:t>R</m:t>
            </m:r>
          </m:sub>
        </m:sSub>
        <m:r>
          <w:rPr>
            <w:rFonts w:ascii="Cambria Math" w:eastAsiaTheme="minorEastAsia" w:hAnsi="Cambria Math" w:cstheme="minorBidi"/>
            <w:szCs w:val="24"/>
          </w:rPr>
          <m:t xml:space="preserve">= </m:t>
        </m:r>
        <m:sSub>
          <m:sSubPr>
            <m:ctrlPr>
              <w:rPr>
                <w:rFonts w:ascii="Cambria Math" w:eastAsiaTheme="minorEastAsia" w:hAnsi="Cambria Math" w:cstheme="minorBidi"/>
                <w:i/>
                <w:szCs w:val="24"/>
              </w:rPr>
            </m:ctrlPr>
          </m:sSubPr>
          <m:e>
            <m:r>
              <w:rPr>
                <w:rFonts w:ascii="Cambria Math" w:eastAsiaTheme="minorEastAsia" w:hAnsi="Cambria Math" w:cstheme="minorBidi"/>
                <w:szCs w:val="24"/>
              </w:rPr>
              <m:t>k</m:t>
            </m:r>
          </m:e>
          <m:sub>
            <m:r>
              <w:rPr>
                <w:rFonts w:ascii="Cambria Math" w:eastAsiaTheme="minorEastAsia" w:hAnsi="Cambria Math" w:cstheme="minorBidi"/>
                <w:szCs w:val="24"/>
              </w:rPr>
              <m:t>1</m:t>
            </m:r>
          </m:sub>
        </m:sSub>
        <m:sSup>
          <m:sSupPr>
            <m:ctrlPr>
              <w:rPr>
                <w:rFonts w:ascii="Cambria Math" w:eastAsiaTheme="minorEastAsia" w:hAnsi="Cambria Math" w:cstheme="minorBidi"/>
                <w:i/>
                <w:szCs w:val="24"/>
              </w:rPr>
            </m:ctrlPr>
          </m:sSupPr>
          <m:e>
            <m:d>
              <m:dPr>
                <m:ctrlPr>
                  <w:rPr>
                    <w:rFonts w:ascii="Cambria Math" w:eastAsiaTheme="minorEastAsia" w:hAnsi="Cambria Math" w:cstheme="minorBidi"/>
                    <w:i/>
                    <w:szCs w:val="24"/>
                  </w:rPr>
                </m:ctrlPr>
              </m:dPr>
              <m:e>
                <m:r>
                  <w:rPr>
                    <w:rFonts w:ascii="Cambria Math" w:eastAsiaTheme="minorEastAsia" w:hAnsi="Cambria Math" w:cstheme="minorBidi"/>
                    <w:szCs w:val="24"/>
                  </w:rPr>
                  <m:t>θ</m:t>
                </m:r>
              </m:e>
            </m:d>
          </m:e>
          <m:sup>
            <m:sSub>
              <m:sSubPr>
                <m:ctrlPr>
                  <w:rPr>
                    <w:rFonts w:ascii="Cambria Math" w:eastAsiaTheme="minorEastAsia" w:hAnsi="Cambria Math" w:cstheme="minorBidi"/>
                    <w:i/>
                    <w:szCs w:val="24"/>
                  </w:rPr>
                </m:ctrlPr>
              </m:sSubPr>
              <m:e>
                <m:r>
                  <w:rPr>
                    <w:rFonts w:ascii="Cambria Math" w:eastAsiaTheme="minorEastAsia" w:hAnsi="Cambria Math" w:cstheme="minorBidi"/>
                    <w:szCs w:val="24"/>
                  </w:rPr>
                  <m:t>k</m:t>
                </m:r>
              </m:e>
              <m:sub>
                <m:r>
                  <w:rPr>
                    <w:rFonts w:ascii="Cambria Math" w:eastAsiaTheme="minorEastAsia" w:hAnsi="Cambria Math" w:cstheme="minorBidi"/>
                    <w:szCs w:val="24"/>
                  </w:rPr>
                  <m:t>2</m:t>
                </m:r>
              </m:sub>
            </m:sSub>
          </m:sup>
        </m:sSup>
      </m:oMath>
      <w:r>
        <w:rPr>
          <w:rFonts w:ascii="Cambria Math" w:eastAsiaTheme="minorEastAsia" w:hAnsi="Cambria Math" w:cstheme="minorBidi"/>
          <w:i/>
          <w:szCs w:val="24"/>
        </w:rPr>
        <w:tab/>
      </w:r>
      <w:r w:rsidRPr="00EF5F9A">
        <w:rPr>
          <w:rFonts w:eastAsiaTheme="minorEastAsia"/>
          <w:szCs w:val="24"/>
        </w:rPr>
        <w:t>(</w:t>
      </w:r>
      <w:r>
        <w:rPr>
          <w:rFonts w:eastAsiaTheme="minorEastAsia"/>
          <w:szCs w:val="24"/>
        </w:rPr>
        <w:t>3-</w:t>
      </w:r>
      <w:r w:rsidRPr="00EF5F9A">
        <w:rPr>
          <w:rFonts w:eastAsiaTheme="minorEastAsia"/>
          <w:szCs w:val="24"/>
        </w:rPr>
        <w:t>5)</w:t>
      </w:r>
    </w:p>
    <w:p w:rsidR="004063A7" w:rsidRDefault="004063A7" w:rsidP="004063A7">
      <w:pPr>
        <w:adjustRightInd w:val="0"/>
        <w:rPr>
          <w:spacing w:val="-2"/>
        </w:rPr>
      </w:pPr>
    </w:p>
    <w:p w:rsidR="004063A7" w:rsidRPr="00EF5F9A" w:rsidRDefault="004063A7" w:rsidP="004063A7">
      <w:pPr>
        <w:spacing w:before="120" w:after="120"/>
        <w:rPr>
          <w:szCs w:val="24"/>
        </w:rPr>
      </w:pPr>
      <w:r>
        <w:rPr>
          <w:szCs w:val="24"/>
        </w:rPr>
        <w:t>where:</w:t>
      </w:r>
    </w:p>
    <w:p w:rsidR="004063A7" w:rsidRDefault="004063A7" w:rsidP="004063A7">
      <w:pPr>
        <w:tabs>
          <w:tab w:val="right" w:pos="1080"/>
          <w:tab w:val="left" w:pos="1440"/>
          <w:tab w:val="left" w:pos="1800"/>
        </w:tabs>
        <w:ind w:left="1800" w:hanging="1800"/>
        <w:rPr>
          <w:szCs w:val="24"/>
        </w:rPr>
      </w:pPr>
      <w:r>
        <w:rPr>
          <w:szCs w:val="24"/>
        </w:rPr>
        <w:tab/>
        <w:t>M</w:t>
      </w:r>
      <w:r w:rsidRPr="005433F3">
        <w:rPr>
          <w:szCs w:val="24"/>
          <w:vertAlign w:val="subscript"/>
        </w:rPr>
        <w:t>R</w:t>
      </w:r>
      <w:r>
        <w:rPr>
          <w:szCs w:val="24"/>
        </w:rPr>
        <w:tab/>
        <w:t>=</w:t>
      </w:r>
      <w:r>
        <w:rPr>
          <w:szCs w:val="24"/>
        </w:rPr>
        <w:tab/>
        <w:t>Resilient modulus, psi</w:t>
      </w:r>
    </w:p>
    <w:p w:rsidR="004063A7" w:rsidRPr="00EF5F9A" w:rsidRDefault="004063A7" w:rsidP="004063A7">
      <w:pPr>
        <w:tabs>
          <w:tab w:val="right" w:pos="1080"/>
          <w:tab w:val="left" w:pos="1440"/>
          <w:tab w:val="left" w:pos="1800"/>
        </w:tabs>
        <w:ind w:left="1800" w:hanging="1800"/>
        <w:rPr>
          <w:szCs w:val="24"/>
        </w:rPr>
      </w:pPr>
      <w:r w:rsidRPr="00EF5F9A">
        <w:rPr>
          <w:szCs w:val="24"/>
        </w:rPr>
        <w:tab/>
      </w:r>
      <w:r w:rsidRPr="00EF5F9A">
        <w:rPr>
          <w:i/>
          <w:szCs w:val="24"/>
        </w:rPr>
        <w:t>P</w:t>
      </w:r>
      <w:r w:rsidRPr="00EF5F9A">
        <w:rPr>
          <w:i/>
          <w:szCs w:val="24"/>
          <w:vertAlign w:val="subscript"/>
        </w:rPr>
        <w:t>a</w:t>
      </w:r>
      <w:r>
        <w:rPr>
          <w:szCs w:val="24"/>
        </w:rPr>
        <w:tab/>
        <w:t>=</w:t>
      </w:r>
      <w:r>
        <w:rPr>
          <w:szCs w:val="24"/>
        </w:rPr>
        <w:tab/>
        <w:t>N</w:t>
      </w:r>
      <w:r w:rsidRPr="00EF5F9A">
        <w:rPr>
          <w:szCs w:val="24"/>
        </w:rPr>
        <w:t>ormalizing stress (atmospheric pressure, e.g. 14.7 psi)</w:t>
      </w:r>
    </w:p>
    <w:p w:rsidR="004063A7" w:rsidRDefault="004063A7" w:rsidP="004063A7">
      <w:pPr>
        <w:tabs>
          <w:tab w:val="right" w:pos="1080"/>
          <w:tab w:val="left" w:pos="1440"/>
          <w:tab w:val="left" w:pos="1800"/>
        </w:tabs>
        <w:ind w:left="1800" w:hanging="1800"/>
        <w:rPr>
          <w:szCs w:val="24"/>
        </w:rPr>
      </w:pPr>
      <w:r w:rsidRPr="00EF5F9A">
        <w:rPr>
          <w:szCs w:val="24"/>
        </w:rPr>
        <w:tab/>
      </w:r>
      <w:r w:rsidRPr="00EF5F9A">
        <w:rPr>
          <w:i/>
          <w:szCs w:val="24"/>
        </w:rPr>
        <w:t>θ</w:t>
      </w:r>
      <w:r>
        <w:rPr>
          <w:szCs w:val="24"/>
        </w:rPr>
        <w:tab/>
        <w:t>=</w:t>
      </w:r>
      <w:r>
        <w:rPr>
          <w:szCs w:val="24"/>
        </w:rPr>
        <w:tab/>
        <w:t>B</w:t>
      </w:r>
      <w:r w:rsidRPr="00EF5F9A">
        <w:rPr>
          <w:szCs w:val="24"/>
        </w:rPr>
        <w:t>ulk stress</w:t>
      </w:r>
    </w:p>
    <w:p w:rsidR="004063A7" w:rsidRDefault="004063A7" w:rsidP="004063A7">
      <w:pPr>
        <w:tabs>
          <w:tab w:val="right" w:pos="1080"/>
          <w:tab w:val="left" w:pos="1440"/>
          <w:tab w:val="left" w:pos="1800"/>
        </w:tabs>
        <w:ind w:left="1800" w:hanging="1800"/>
        <w:rPr>
          <w:szCs w:val="24"/>
          <w:vertAlign w:val="subscript"/>
        </w:rPr>
      </w:pPr>
      <w:r>
        <w:rPr>
          <w:i/>
          <w:szCs w:val="24"/>
        </w:rPr>
        <w:tab/>
      </w:r>
      <w:r>
        <w:rPr>
          <w:i/>
          <w:szCs w:val="24"/>
        </w:rPr>
        <w:tab/>
        <w:t>=</w:t>
      </w:r>
      <w:r>
        <w:rPr>
          <w:i/>
          <w:szCs w:val="24"/>
        </w:rPr>
        <w:tab/>
      </w:r>
      <w:r w:rsidRPr="00EF5F9A">
        <w:rPr>
          <w:szCs w:val="24"/>
        </w:rPr>
        <w:t>3σ</w:t>
      </w:r>
      <w:r w:rsidRPr="00EF5F9A">
        <w:rPr>
          <w:szCs w:val="24"/>
          <w:vertAlign w:val="subscript"/>
        </w:rPr>
        <w:t>c</w:t>
      </w:r>
      <w:r w:rsidRPr="00EF5F9A">
        <w:rPr>
          <w:szCs w:val="24"/>
        </w:rPr>
        <w:t xml:space="preserve"> + σ</w:t>
      </w:r>
      <w:r w:rsidRPr="00EF5F9A">
        <w:rPr>
          <w:szCs w:val="24"/>
          <w:vertAlign w:val="subscript"/>
        </w:rPr>
        <w:t>d</w:t>
      </w:r>
    </w:p>
    <w:p w:rsidR="004063A7" w:rsidRDefault="004063A7" w:rsidP="004063A7">
      <w:pPr>
        <w:tabs>
          <w:tab w:val="right" w:pos="1080"/>
          <w:tab w:val="left" w:pos="1440"/>
          <w:tab w:val="left" w:pos="1800"/>
        </w:tabs>
        <w:ind w:left="1800" w:hanging="1800"/>
        <w:rPr>
          <w:szCs w:val="24"/>
        </w:rPr>
      </w:pPr>
      <w:r>
        <w:rPr>
          <w:i/>
          <w:szCs w:val="24"/>
        </w:rPr>
        <w:tab/>
      </w:r>
      <w:r w:rsidRPr="00EF5F9A">
        <w:rPr>
          <w:szCs w:val="24"/>
        </w:rPr>
        <w:t>σ</w:t>
      </w:r>
      <w:r w:rsidRPr="00EF5F9A">
        <w:rPr>
          <w:szCs w:val="24"/>
          <w:vertAlign w:val="subscript"/>
        </w:rPr>
        <w:t>c</w:t>
      </w:r>
      <w:r>
        <w:rPr>
          <w:szCs w:val="24"/>
        </w:rPr>
        <w:tab/>
        <w:t>=</w:t>
      </w:r>
      <w:r>
        <w:rPr>
          <w:szCs w:val="24"/>
        </w:rPr>
        <w:tab/>
        <w:t>C</w:t>
      </w:r>
      <w:r w:rsidRPr="00EF5F9A">
        <w:rPr>
          <w:szCs w:val="24"/>
        </w:rPr>
        <w:t>onfining stress, psi</w:t>
      </w:r>
    </w:p>
    <w:p w:rsidR="004063A7" w:rsidRPr="00EF5F9A" w:rsidRDefault="004063A7" w:rsidP="004063A7">
      <w:pPr>
        <w:tabs>
          <w:tab w:val="right" w:pos="1080"/>
          <w:tab w:val="left" w:pos="1440"/>
          <w:tab w:val="left" w:pos="1800"/>
        </w:tabs>
        <w:ind w:left="1800" w:hanging="1800"/>
        <w:rPr>
          <w:szCs w:val="24"/>
        </w:rPr>
      </w:pPr>
      <w:r>
        <w:rPr>
          <w:szCs w:val="24"/>
        </w:rPr>
        <w:tab/>
      </w:r>
      <w:r w:rsidRPr="00EF5F9A">
        <w:rPr>
          <w:szCs w:val="24"/>
        </w:rPr>
        <w:t>σ</w:t>
      </w:r>
      <w:r w:rsidRPr="00EF5F9A">
        <w:rPr>
          <w:szCs w:val="24"/>
          <w:vertAlign w:val="subscript"/>
        </w:rPr>
        <w:t>d</w:t>
      </w:r>
      <w:r>
        <w:rPr>
          <w:szCs w:val="24"/>
        </w:rPr>
        <w:tab/>
        <w:t>=</w:t>
      </w:r>
      <w:r>
        <w:rPr>
          <w:szCs w:val="24"/>
        </w:rPr>
        <w:tab/>
        <w:t>Deviatoric stress, psi</w:t>
      </w:r>
    </w:p>
    <w:p w:rsidR="004063A7" w:rsidRPr="00EF5F9A" w:rsidRDefault="004063A7" w:rsidP="004063A7">
      <w:pPr>
        <w:tabs>
          <w:tab w:val="right" w:pos="1080"/>
          <w:tab w:val="left" w:pos="1440"/>
          <w:tab w:val="left" w:pos="1800"/>
        </w:tabs>
        <w:ind w:left="1800" w:hanging="1800"/>
        <w:rPr>
          <w:szCs w:val="24"/>
        </w:rPr>
      </w:pPr>
      <w:r w:rsidRPr="00EF5F9A">
        <w:rPr>
          <w:szCs w:val="24"/>
        </w:rPr>
        <w:tab/>
      </w:r>
      <w:r w:rsidRPr="00EF5F9A">
        <w:rPr>
          <w:i/>
          <w:szCs w:val="24"/>
        </w:rPr>
        <w:t>k</w:t>
      </w:r>
      <w:r w:rsidRPr="00EF5F9A">
        <w:rPr>
          <w:i/>
          <w:szCs w:val="24"/>
          <w:vertAlign w:val="subscript"/>
        </w:rPr>
        <w:t>i</w:t>
      </w:r>
      <w:r>
        <w:rPr>
          <w:szCs w:val="24"/>
        </w:rPr>
        <w:tab/>
        <w:t>=</w:t>
      </w:r>
      <w:r>
        <w:rPr>
          <w:szCs w:val="24"/>
        </w:rPr>
        <w:tab/>
        <w:t>E</w:t>
      </w:r>
      <w:r w:rsidRPr="00EF5F9A">
        <w:rPr>
          <w:szCs w:val="24"/>
        </w:rPr>
        <w:t>lastic response coefficients</w:t>
      </w:r>
    </w:p>
    <w:p w:rsidR="004063A7" w:rsidRPr="007122E1" w:rsidRDefault="004063A7" w:rsidP="007122E1">
      <w:pPr>
        <w:tabs>
          <w:tab w:val="right" w:pos="1080"/>
          <w:tab w:val="left" w:pos="1440"/>
          <w:tab w:val="left" w:pos="1800"/>
        </w:tabs>
        <w:ind w:left="1800" w:hanging="1800"/>
        <w:rPr>
          <w:szCs w:val="24"/>
        </w:rPr>
      </w:pPr>
    </w:p>
    <w:p w:rsidR="00E259C4" w:rsidRDefault="000E360A" w:rsidP="00E259C4">
      <w:pPr>
        <w:adjustRightInd w:val="0"/>
        <w:jc w:val="center"/>
        <w:rPr>
          <w:spacing w:val="-2"/>
        </w:rPr>
      </w:pPr>
      <w:r>
        <w:rPr>
          <w:noProof/>
          <w:spacing w:val="-2"/>
        </w:rPr>
        <w:lastRenderedPageBreak/>
        <w:drawing>
          <wp:inline distT="0" distB="0" distL="0" distR="0">
            <wp:extent cx="4546060" cy="3921178"/>
            <wp:effectExtent l="0" t="0" r="6985" b="31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46169" cy="3921272"/>
                    </a:xfrm>
                    <a:prstGeom prst="rect">
                      <a:avLst/>
                    </a:prstGeom>
                    <a:noFill/>
                    <a:ln>
                      <a:noFill/>
                    </a:ln>
                  </pic:spPr>
                </pic:pic>
              </a:graphicData>
            </a:graphic>
          </wp:inline>
        </w:drawing>
      </w:r>
    </w:p>
    <w:p w:rsidR="00E259C4" w:rsidRPr="00D20803" w:rsidRDefault="007122E1" w:rsidP="004B4E81">
      <w:pPr>
        <w:pStyle w:val="APTechFigureCaption"/>
      </w:pPr>
      <w:bookmarkStart w:id="15" w:name="_Ref274315837"/>
      <w:bookmarkStart w:id="16" w:name="_Toc295918028"/>
      <w:r>
        <w:t>Figure</w:t>
      </w:r>
      <w:bookmarkEnd w:id="15"/>
      <w:r w:rsidR="005D69C9">
        <w:t xml:space="preserve"> </w:t>
      </w:r>
      <w:bookmarkStart w:id="17" w:name="F5"/>
      <w:r w:rsidR="00F3038B">
        <w:t>3-</w:t>
      </w:r>
      <w:bookmarkEnd w:id="17"/>
      <w:r w:rsidR="00CC4DEE">
        <w:t>3</w:t>
      </w:r>
      <w:r w:rsidR="00E259C4">
        <w:t xml:space="preserve">. </w:t>
      </w:r>
      <w:r w:rsidR="005A3D1C">
        <w:t xml:space="preserve"> </w:t>
      </w:r>
      <w:r w:rsidR="00E259C4">
        <w:t>Triaxial cell for testing cylindrical specimens</w:t>
      </w:r>
      <w:r>
        <w:t xml:space="preserve"> (</w:t>
      </w:r>
      <w:hyperlink r:id="rId12" w:history="1">
        <w:r w:rsidR="000E360A">
          <w:rPr>
            <w:rStyle w:val="Hyperlink"/>
          </w:rPr>
          <w:t>NCHRP</w:t>
        </w:r>
      </w:hyperlink>
      <w:r w:rsidR="000E360A">
        <w:rPr>
          <w:rStyle w:val="Hyperlink"/>
        </w:rPr>
        <w:t xml:space="preserve"> 1-28A</w:t>
      </w:r>
      <w:r>
        <w:t>)</w:t>
      </w:r>
      <w:r w:rsidR="00E259C4">
        <w:t>.</w:t>
      </w:r>
      <w:bookmarkEnd w:id="16"/>
    </w:p>
    <w:p w:rsidR="007E4D1D" w:rsidRDefault="007E4D1D" w:rsidP="00EF5F9A"/>
    <w:p w:rsidR="007E4D1D" w:rsidRPr="00EF5F9A" w:rsidRDefault="007E4D1D" w:rsidP="00DD4233">
      <w:pPr>
        <w:adjustRightInd w:val="0"/>
        <w:rPr>
          <w:spacing w:val="-2"/>
        </w:rPr>
      </w:pPr>
    </w:p>
    <w:p w:rsidR="007E4D1D" w:rsidRDefault="007E4D1D" w:rsidP="00EF5F9A">
      <w:r>
        <w:t>Due to the complexity of laboratory testing, soil and aggregate resilient modulus is often estimated from soil properties or backcalculated from an existing pavement using non-destructive deflection testing.</w:t>
      </w:r>
    </w:p>
    <w:p w:rsidR="007E4D1D" w:rsidRDefault="007E4D1D" w:rsidP="00EF5F9A"/>
    <w:p w:rsidR="007E4D1D" w:rsidRDefault="007E4D1D" w:rsidP="00EF5F9A">
      <w:pPr>
        <w:pStyle w:val="Heading4"/>
      </w:pPr>
      <w:bookmarkStart w:id="18" w:name="_Toc295918606"/>
      <w:r>
        <w:t>k-value</w:t>
      </w:r>
      <w:bookmarkEnd w:id="18"/>
    </w:p>
    <w:p w:rsidR="00124C98" w:rsidRDefault="007E4D1D" w:rsidP="004A509E">
      <w:r>
        <w:t xml:space="preserve">The k-value, or modulus of subgrade reaction, represents the degree a concrete slab is being supported by the underlying layers.  The use of a k-value indicates that the pavement model assumes the concrete slab is lying on a bed of springs known as a Winkler foundation.  In the past, the k-value was often measured in accordance with AASHTO T 221, </w:t>
      </w:r>
      <w:r>
        <w:rPr>
          <w:i/>
        </w:rPr>
        <w:t xml:space="preserve">Standard Method of Test for Repetitive Static Plate Load Test of Soils and Flexible Pavement Components, for Use in Evaluation and Design of Airport and Highway Pavements </w:t>
      </w:r>
      <w:r>
        <w:t>or by AASHTO T 222</w:t>
      </w:r>
      <w:r w:rsidRPr="004F57D8">
        <w:t>,</w:t>
      </w:r>
      <w:r>
        <w:t xml:space="preserve"> </w:t>
      </w:r>
      <w:r>
        <w:rPr>
          <w:i/>
        </w:rPr>
        <w:t>Standard Method of Test for Nonrepetitive Static Plate Load Test of Soils and Flexible Pavement Components, for Use in Evaluation and Design of Airport and Highway Pavements</w:t>
      </w:r>
      <w:r>
        <w:t>.</w:t>
      </w:r>
      <w:r w:rsidR="00FB1AD4">
        <w:t xml:space="preserve"> </w:t>
      </w:r>
    </w:p>
    <w:p w:rsidR="00595105" w:rsidRDefault="00595105"/>
    <w:p w:rsidR="007E4D1D" w:rsidRDefault="007E4D1D" w:rsidP="004A509E">
      <w:r>
        <w:t>In either test, a stack of steel plates, with the bottom plate having a 30-in diameter, is pressed into the foundation layer under hydraulic pressure, and the resulting surface deformation is recorded.  The modulus of subgrade reaction is calculated as follows:</w:t>
      </w:r>
    </w:p>
    <w:p w:rsidR="007E4D1D" w:rsidRDefault="007E4D1D" w:rsidP="004A509E"/>
    <w:p w:rsidR="007E4D1D" w:rsidRPr="004A509E" w:rsidRDefault="004A509E" w:rsidP="004A509E">
      <w:pPr>
        <w:tabs>
          <w:tab w:val="center" w:pos="4680"/>
          <w:tab w:val="right" w:pos="9360"/>
        </w:tabs>
        <w:rPr>
          <w:szCs w:val="24"/>
        </w:rPr>
      </w:pPr>
      <w:r>
        <w:rPr>
          <w:szCs w:val="24"/>
        </w:rPr>
        <w:tab/>
      </w:r>
      <m:oMath>
        <m:r>
          <w:rPr>
            <w:rFonts w:ascii="Cambria Math" w:hAnsi="Cambria Math"/>
            <w:sz w:val="28"/>
            <w:szCs w:val="28"/>
          </w:rPr>
          <m:t>k</m:t>
        </m:r>
        <m:r>
          <m:rPr>
            <m:sty m:val="p"/>
          </m:rPr>
          <w:rPr>
            <w:rFonts w:ascii="Cambria Math" w:hAnsi="Cambria Math"/>
            <w:sz w:val="28"/>
            <w:szCs w:val="28"/>
          </w:rPr>
          <m:t xml:space="preserve">= </m:t>
        </m:r>
        <m:f>
          <m:fPr>
            <m:ctrlPr>
              <w:rPr>
                <w:rFonts w:ascii="Cambria Math" w:hAnsi="Cambria Math"/>
                <w:sz w:val="28"/>
                <w:szCs w:val="28"/>
              </w:rPr>
            </m:ctrlPr>
          </m:fPr>
          <m:num>
            <m:r>
              <m:rPr>
                <m:sty m:val="p"/>
              </m:rPr>
              <w:rPr>
                <w:rFonts w:ascii="Cambria Math" w:hAnsi="Cambria Math"/>
                <w:sz w:val="28"/>
                <w:szCs w:val="28"/>
              </w:rPr>
              <m:t>P</m:t>
            </m:r>
          </m:num>
          <m:den>
            <m:r>
              <m:rPr>
                <m:sty m:val="p"/>
              </m:rPr>
              <w:rPr>
                <w:rFonts w:ascii="Cambria Math" w:hAnsi="Cambria Math"/>
                <w:sz w:val="28"/>
                <w:szCs w:val="28"/>
              </w:rPr>
              <m:t>∆</m:t>
            </m:r>
          </m:den>
        </m:f>
      </m:oMath>
      <w:r>
        <w:rPr>
          <w:szCs w:val="24"/>
        </w:rPr>
        <w:tab/>
      </w:r>
      <w:r w:rsidRPr="004A509E">
        <w:rPr>
          <w:szCs w:val="24"/>
        </w:rPr>
        <w:t>(</w:t>
      </w:r>
      <w:r w:rsidR="00402C07">
        <w:rPr>
          <w:szCs w:val="24"/>
        </w:rPr>
        <w:t>3-</w:t>
      </w:r>
      <w:r>
        <w:rPr>
          <w:szCs w:val="24"/>
        </w:rPr>
        <w:t>6)</w:t>
      </w:r>
    </w:p>
    <w:p w:rsidR="007E4D1D" w:rsidRPr="001E31DB" w:rsidRDefault="001E31DB" w:rsidP="001E31DB">
      <w:pPr>
        <w:spacing w:before="120" w:after="120"/>
        <w:rPr>
          <w:szCs w:val="24"/>
        </w:rPr>
      </w:pPr>
      <w:r>
        <w:rPr>
          <w:szCs w:val="24"/>
        </w:rPr>
        <w:t>where:</w:t>
      </w:r>
    </w:p>
    <w:p w:rsidR="007E4D1D" w:rsidRPr="001E31DB" w:rsidRDefault="007E4D1D" w:rsidP="001E31DB">
      <w:pPr>
        <w:tabs>
          <w:tab w:val="right" w:pos="1080"/>
          <w:tab w:val="left" w:pos="1440"/>
          <w:tab w:val="left" w:pos="1800"/>
        </w:tabs>
        <w:ind w:left="1800" w:hanging="1800"/>
        <w:rPr>
          <w:i/>
          <w:szCs w:val="24"/>
        </w:rPr>
      </w:pPr>
      <w:r w:rsidRPr="001E31DB">
        <w:rPr>
          <w:i/>
          <w:szCs w:val="24"/>
        </w:rPr>
        <w:tab/>
        <w:t>k</w:t>
      </w:r>
      <w:r w:rsidR="001E31DB">
        <w:rPr>
          <w:i/>
          <w:szCs w:val="24"/>
        </w:rPr>
        <w:tab/>
        <w:t>=</w:t>
      </w:r>
      <w:r w:rsidR="005A3D1C">
        <w:rPr>
          <w:szCs w:val="24"/>
        </w:rPr>
        <w:tab/>
      </w:r>
      <w:r w:rsidR="001E31DB">
        <w:rPr>
          <w:szCs w:val="24"/>
        </w:rPr>
        <w:t>S</w:t>
      </w:r>
      <w:r w:rsidRPr="001E31DB">
        <w:rPr>
          <w:szCs w:val="24"/>
        </w:rPr>
        <w:t>pring constant or modulus of subgrade reaction, psi/in</w:t>
      </w:r>
    </w:p>
    <w:p w:rsidR="007E4D1D" w:rsidRPr="001E31DB" w:rsidRDefault="007E4D1D" w:rsidP="001E31DB">
      <w:pPr>
        <w:tabs>
          <w:tab w:val="right" w:pos="1080"/>
          <w:tab w:val="left" w:pos="1440"/>
          <w:tab w:val="left" w:pos="1800"/>
        </w:tabs>
        <w:ind w:left="1800" w:hanging="1800"/>
        <w:rPr>
          <w:i/>
          <w:szCs w:val="24"/>
        </w:rPr>
      </w:pPr>
      <w:r w:rsidRPr="001E31DB">
        <w:rPr>
          <w:i/>
          <w:szCs w:val="24"/>
        </w:rPr>
        <w:lastRenderedPageBreak/>
        <w:tab/>
        <w:t>P</w:t>
      </w:r>
      <w:r w:rsidR="001E31DB">
        <w:rPr>
          <w:szCs w:val="24"/>
        </w:rPr>
        <w:tab/>
        <w:t>=</w:t>
      </w:r>
      <w:r w:rsidR="001E31DB">
        <w:rPr>
          <w:szCs w:val="24"/>
        </w:rPr>
        <w:tab/>
        <w:t>A</w:t>
      </w:r>
      <w:r w:rsidRPr="001E31DB">
        <w:rPr>
          <w:szCs w:val="24"/>
        </w:rPr>
        <w:t>pplied pressure, psi</w:t>
      </w:r>
    </w:p>
    <w:p w:rsidR="007E4D1D" w:rsidRPr="001E31DB" w:rsidRDefault="007E4D1D" w:rsidP="001E31DB">
      <w:pPr>
        <w:tabs>
          <w:tab w:val="right" w:pos="1080"/>
          <w:tab w:val="left" w:pos="1440"/>
          <w:tab w:val="left" w:pos="1800"/>
        </w:tabs>
        <w:ind w:left="1800" w:hanging="1800"/>
        <w:rPr>
          <w:i/>
          <w:szCs w:val="24"/>
        </w:rPr>
      </w:pPr>
      <w:r w:rsidRPr="001E31DB">
        <w:rPr>
          <w:i/>
          <w:szCs w:val="24"/>
        </w:rPr>
        <w:tab/>
        <w:t>Δ</w:t>
      </w:r>
      <w:r w:rsidR="001E31DB">
        <w:rPr>
          <w:i/>
          <w:szCs w:val="24"/>
        </w:rPr>
        <w:tab/>
        <w:t>=</w:t>
      </w:r>
      <w:r w:rsidR="001E31DB">
        <w:rPr>
          <w:i/>
          <w:szCs w:val="24"/>
        </w:rPr>
        <w:tab/>
      </w:r>
      <w:r w:rsidR="001E31DB">
        <w:rPr>
          <w:szCs w:val="24"/>
        </w:rPr>
        <w:t>M</w:t>
      </w:r>
      <w:r w:rsidRPr="001E31DB">
        <w:rPr>
          <w:szCs w:val="24"/>
        </w:rPr>
        <w:t xml:space="preserve">easured surface deflection, </w:t>
      </w:r>
      <w:r w:rsidR="00DF35C4">
        <w:rPr>
          <w:szCs w:val="24"/>
        </w:rPr>
        <w:t>in.</w:t>
      </w:r>
    </w:p>
    <w:p w:rsidR="007E4D1D" w:rsidRDefault="007E4D1D" w:rsidP="001E31DB"/>
    <w:p w:rsidR="008E664F" w:rsidRPr="001E31DB" w:rsidRDefault="007E4D1D" w:rsidP="001E31DB">
      <w:r>
        <w:t>Since it is common today to be designing new pavements to replace existing pavements, the k-value is often backcalculated from data collected using non-destructive deflection testing.  Even for new construction on a new grade, the plate load test is so cumbersome that the k-value is often estimated from soil properties.</w:t>
      </w:r>
      <w:r w:rsidR="007238C2">
        <w:t xml:space="preserve">  Typical k-values for different soil types are shown in </w:t>
      </w:r>
      <w:r w:rsidR="00F3038B">
        <w:t xml:space="preserve">Table </w:t>
      </w:r>
      <w:r w:rsidR="00165C35">
        <w:fldChar w:fldCharType="begin"/>
      </w:r>
      <w:r w:rsidR="00F3038B">
        <w:instrText xml:space="preserve"> REF t3 \h </w:instrText>
      </w:r>
      <w:r w:rsidR="00165C35">
        <w:fldChar w:fldCharType="separate"/>
      </w:r>
      <w:r w:rsidR="00E15AAD">
        <w:t>3-2.</w:t>
      </w:r>
      <w:r w:rsidR="00165C35">
        <w:fldChar w:fldCharType="end"/>
      </w:r>
    </w:p>
    <w:p w:rsidR="008E664F" w:rsidRPr="008E664F" w:rsidRDefault="001E31DB" w:rsidP="001E31DB">
      <w:pPr>
        <w:pStyle w:val="Heading9"/>
      </w:pPr>
      <w:bookmarkStart w:id="19" w:name="_Toc295918110"/>
      <w:r>
        <w:t>Table</w:t>
      </w:r>
      <w:r w:rsidR="00C11CBD">
        <w:t xml:space="preserve"> </w:t>
      </w:r>
      <w:bookmarkStart w:id="20" w:name="t3"/>
      <w:r w:rsidR="00F3038B">
        <w:t>3-</w:t>
      </w:r>
      <w:r w:rsidR="00CC4DEE">
        <w:t>2</w:t>
      </w:r>
      <w:r w:rsidR="00F3038B">
        <w:t>.</w:t>
      </w:r>
      <w:bookmarkEnd w:id="20"/>
      <w:r w:rsidR="008E664F" w:rsidRPr="008E664F">
        <w:t xml:space="preserve"> </w:t>
      </w:r>
      <w:r w:rsidR="00F0712A">
        <w:t xml:space="preserve"> </w:t>
      </w:r>
      <w:r w:rsidR="008E664F" w:rsidRPr="008E664F">
        <w:t xml:space="preserve">Subgrade soil types and approximate </w:t>
      </w:r>
      <w:r w:rsidR="008E664F" w:rsidRPr="008E664F">
        <w:rPr>
          <w:i/>
        </w:rPr>
        <w:t>k</w:t>
      </w:r>
      <w:r w:rsidR="008E664F" w:rsidRPr="008E664F">
        <w:t xml:space="preserve"> values</w:t>
      </w:r>
      <w:bookmarkEnd w:id="19"/>
    </w:p>
    <w:tbl>
      <w:tblPr>
        <w:tblW w:w="0" w:type="auto"/>
        <w:jc w:val="center"/>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CellMar>
          <w:top w:w="58" w:type="dxa"/>
          <w:left w:w="72" w:type="dxa"/>
          <w:bottom w:w="58" w:type="dxa"/>
          <w:right w:w="72" w:type="dxa"/>
        </w:tblCellMar>
        <w:tblLook w:val="01E0" w:firstRow="1" w:lastRow="1" w:firstColumn="1" w:lastColumn="1" w:noHBand="0" w:noVBand="0"/>
      </w:tblPr>
      <w:tblGrid>
        <w:gridCol w:w="5040"/>
        <w:gridCol w:w="1152"/>
        <w:gridCol w:w="1296"/>
      </w:tblGrid>
      <w:tr w:rsidR="008E664F" w:rsidRPr="00DF7CE4" w:rsidTr="001E31DB">
        <w:trPr>
          <w:jc w:val="center"/>
        </w:trPr>
        <w:tc>
          <w:tcPr>
            <w:tcW w:w="5040" w:type="dxa"/>
            <w:tcBorders>
              <w:top w:val="double" w:sz="4" w:space="0" w:color="auto"/>
              <w:bottom w:val="double" w:sz="4" w:space="0" w:color="auto"/>
            </w:tcBorders>
            <w:vAlign w:val="center"/>
          </w:tcPr>
          <w:p w:rsidR="008E664F" w:rsidRPr="00DF7CE4" w:rsidRDefault="008E664F" w:rsidP="001E31DB">
            <w:pPr>
              <w:adjustRightInd w:val="0"/>
              <w:jc w:val="center"/>
              <w:rPr>
                <w:b/>
                <w:spacing w:val="-2"/>
              </w:rPr>
            </w:pPr>
            <w:r w:rsidRPr="00DF7CE4">
              <w:rPr>
                <w:b/>
                <w:spacing w:val="-2"/>
              </w:rPr>
              <w:t>Type of soil</w:t>
            </w:r>
          </w:p>
        </w:tc>
        <w:tc>
          <w:tcPr>
            <w:tcW w:w="1152" w:type="dxa"/>
            <w:tcBorders>
              <w:top w:val="double" w:sz="4" w:space="0" w:color="auto"/>
              <w:bottom w:val="double" w:sz="4" w:space="0" w:color="auto"/>
            </w:tcBorders>
            <w:vAlign w:val="center"/>
          </w:tcPr>
          <w:p w:rsidR="008E664F" w:rsidRPr="00DF7CE4" w:rsidRDefault="008E664F" w:rsidP="001E31DB">
            <w:pPr>
              <w:adjustRightInd w:val="0"/>
              <w:jc w:val="center"/>
              <w:rPr>
                <w:b/>
                <w:spacing w:val="-2"/>
              </w:rPr>
            </w:pPr>
            <w:r w:rsidRPr="00DF7CE4">
              <w:rPr>
                <w:b/>
                <w:spacing w:val="-2"/>
              </w:rPr>
              <w:t>Support</w:t>
            </w:r>
          </w:p>
        </w:tc>
        <w:tc>
          <w:tcPr>
            <w:tcW w:w="1296" w:type="dxa"/>
            <w:tcBorders>
              <w:top w:val="double" w:sz="4" w:space="0" w:color="auto"/>
              <w:bottom w:val="double" w:sz="4" w:space="0" w:color="auto"/>
            </w:tcBorders>
            <w:vAlign w:val="center"/>
          </w:tcPr>
          <w:p w:rsidR="008E664F" w:rsidRPr="00DF7CE4" w:rsidRDefault="008E664F" w:rsidP="00583AC9">
            <w:pPr>
              <w:adjustRightInd w:val="0"/>
              <w:jc w:val="center"/>
              <w:rPr>
                <w:b/>
                <w:spacing w:val="-2"/>
              </w:rPr>
            </w:pPr>
            <w:r w:rsidRPr="00DF7CE4">
              <w:rPr>
                <w:b/>
                <w:i/>
                <w:spacing w:val="-2"/>
              </w:rPr>
              <w:t>k</w:t>
            </w:r>
            <w:r w:rsidRPr="00DF7CE4">
              <w:rPr>
                <w:b/>
                <w:spacing w:val="-2"/>
              </w:rPr>
              <w:t xml:space="preserve"> Values</w:t>
            </w:r>
            <w:r w:rsidR="001E31DB">
              <w:rPr>
                <w:b/>
                <w:spacing w:val="-2"/>
              </w:rPr>
              <w:br/>
            </w:r>
            <w:r w:rsidRPr="00DF7CE4">
              <w:rPr>
                <w:b/>
                <w:spacing w:val="-2"/>
              </w:rPr>
              <w:t>(</w:t>
            </w:r>
            <w:r w:rsidR="00D94BD8">
              <w:rPr>
                <w:b/>
                <w:spacing w:val="-2"/>
              </w:rPr>
              <w:t>lb/in</w:t>
            </w:r>
            <w:r w:rsidR="00583AC9" w:rsidRPr="00583AC9">
              <w:rPr>
                <w:b/>
                <w:spacing w:val="-2"/>
                <w:vertAlign w:val="superscript"/>
              </w:rPr>
              <w:t>3</w:t>
            </w:r>
            <w:r w:rsidRPr="00DF7CE4">
              <w:rPr>
                <w:b/>
                <w:spacing w:val="-2"/>
              </w:rPr>
              <w:t>)</w:t>
            </w:r>
          </w:p>
        </w:tc>
      </w:tr>
      <w:tr w:rsidR="008E664F" w:rsidRPr="00DF7CE4" w:rsidTr="001E31DB">
        <w:trPr>
          <w:trHeight w:val="552"/>
          <w:jc w:val="center"/>
        </w:trPr>
        <w:tc>
          <w:tcPr>
            <w:tcW w:w="5040" w:type="dxa"/>
            <w:tcBorders>
              <w:top w:val="double" w:sz="4" w:space="0" w:color="auto"/>
            </w:tcBorders>
            <w:vAlign w:val="center"/>
          </w:tcPr>
          <w:p w:rsidR="008E664F" w:rsidRPr="00DF7CE4" w:rsidRDefault="008E664F" w:rsidP="001E31DB">
            <w:pPr>
              <w:adjustRightInd w:val="0"/>
              <w:rPr>
                <w:spacing w:val="-2"/>
              </w:rPr>
            </w:pPr>
            <w:r w:rsidRPr="00DF7CE4">
              <w:rPr>
                <w:spacing w:val="-2"/>
              </w:rPr>
              <w:t>Fine-grained soils in which silt and clay-size particles predominate</w:t>
            </w:r>
          </w:p>
        </w:tc>
        <w:tc>
          <w:tcPr>
            <w:tcW w:w="1152" w:type="dxa"/>
            <w:tcBorders>
              <w:top w:val="double" w:sz="4" w:space="0" w:color="auto"/>
            </w:tcBorders>
            <w:vAlign w:val="center"/>
          </w:tcPr>
          <w:p w:rsidR="008E664F" w:rsidRPr="00DF7CE4" w:rsidRDefault="008E664F" w:rsidP="001E31DB">
            <w:pPr>
              <w:adjustRightInd w:val="0"/>
              <w:jc w:val="center"/>
              <w:rPr>
                <w:spacing w:val="-2"/>
              </w:rPr>
            </w:pPr>
            <w:r w:rsidRPr="00DF7CE4">
              <w:rPr>
                <w:spacing w:val="-2"/>
              </w:rPr>
              <w:t>Low</w:t>
            </w:r>
          </w:p>
        </w:tc>
        <w:tc>
          <w:tcPr>
            <w:tcW w:w="1296" w:type="dxa"/>
            <w:tcBorders>
              <w:top w:val="double" w:sz="4" w:space="0" w:color="auto"/>
            </w:tcBorders>
            <w:vAlign w:val="center"/>
          </w:tcPr>
          <w:p w:rsidR="008E664F" w:rsidRPr="00DF7CE4" w:rsidRDefault="008E664F" w:rsidP="001E31DB">
            <w:pPr>
              <w:adjustRightInd w:val="0"/>
              <w:jc w:val="center"/>
              <w:rPr>
                <w:spacing w:val="-2"/>
              </w:rPr>
            </w:pPr>
            <w:r w:rsidRPr="00DF7CE4">
              <w:rPr>
                <w:spacing w:val="-2"/>
              </w:rPr>
              <w:t>75-120</w:t>
            </w:r>
          </w:p>
        </w:tc>
      </w:tr>
      <w:tr w:rsidR="008E664F" w:rsidRPr="00DF7CE4" w:rsidTr="001E31DB">
        <w:trPr>
          <w:trHeight w:val="552"/>
          <w:jc w:val="center"/>
        </w:trPr>
        <w:tc>
          <w:tcPr>
            <w:tcW w:w="5040" w:type="dxa"/>
            <w:vAlign w:val="center"/>
          </w:tcPr>
          <w:p w:rsidR="008E664F" w:rsidRPr="00DF7CE4" w:rsidRDefault="008E664F" w:rsidP="001E31DB">
            <w:pPr>
              <w:adjustRightInd w:val="0"/>
              <w:rPr>
                <w:spacing w:val="-2"/>
              </w:rPr>
            </w:pPr>
            <w:r w:rsidRPr="00DF7CE4">
              <w:rPr>
                <w:spacing w:val="-2"/>
              </w:rPr>
              <w:t>Sands and sand-gravel mixtures with moderate amounts of silt and clay</w:t>
            </w:r>
          </w:p>
        </w:tc>
        <w:tc>
          <w:tcPr>
            <w:tcW w:w="1152" w:type="dxa"/>
            <w:vAlign w:val="center"/>
          </w:tcPr>
          <w:p w:rsidR="008E664F" w:rsidRPr="00DF7CE4" w:rsidRDefault="008E664F" w:rsidP="001E31DB">
            <w:pPr>
              <w:adjustRightInd w:val="0"/>
              <w:jc w:val="center"/>
              <w:rPr>
                <w:spacing w:val="-2"/>
              </w:rPr>
            </w:pPr>
            <w:r w:rsidRPr="00DF7CE4">
              <w:rPr>
                <w:spacing w:val="-2"/>
              </w:rPr>
              <w:t>Medium</w:t>
            </w:r>
          </w:p>
        </w:tc>
        <w:tc>
          <w:tcPr>
            <w:tcW w:w="1296" w:type="dxa"/>
            <w:vAlign w:val="center"/>
          </w:tcPr>
          <w:p w:rsidR="008E664F" w:rsidRPr="00DF7CE4" w:rsidRDefault="008E664F" w:rsidP="001E31DB">
            <w:pPr>
              <w:adjustRightInd w:val="0"/>
              <w:jc w:val="center"/>
              <w:rPr>
                <w:spacing w:val="-2"/>
              </w:rPr>
            </w:pPr>
            <w:r w:rsidRPr="00DF7CE4">
              <w:rPr>
                <w:spacing w:val="-2"/>
              </w:rPr>
              <w:t>130-170</w:t>
            </w:r>
          </w:p>
        </w:tc>
      </w:tr>
      <w:tr w:rsidR="008E664F" w:rsidRPr="00DF7CE4" w:rsidTr="001E31DB">
        <w:trPr>
          <w:trHeight w:val="552"/>
          <w:jc w:val="center"/>
        </w:trPr>
        <w:tc>
          <w:tcPr>
            <w:tcW w:w="5040" w:type="dxa"/>
            <w:vAlign w:val="center"/>
          </w:tcPr>
          <w:p w:rsidR="008E664F" w:rsidRPr="00DF7CE4" w:rsidRDefault="008E664F" w:rsidP="001E31DB">
            <w:pPr>
              <w:adjustRightInd w:val="0"/>
              <w:rPr>
                <w:spacing w:val="-2"/>
              </w:rPr>
            </w:pPr>
            <w:r w:rsidRPr="00DF7CE4">
              <w:rPr>
                <w:spacing w:val="-2"/>
              </w:rPr>
              <w:t>Sands and sand-gravel mixtures relatively free of plastic fines</w:t>
            </w:r>
          </w:p>
        </w:tc>
        <w:tc>
          <w:tcPr>
            <w:tcW w:w="1152" w:type="dxa"/>
            <w:vAlign w:val="center"/>
          </w:tcPr>
          <w:p w:rsidR="008E664F" w:rsidRPr="00DF7CE4" w:rsidRDefault="008E664F" w:rsidP="001E31DB">
            <w:pPr>
              <w:adjustRightInd w:val="0"/>
              <w:jc w:val="center"/>
              <w:rPr>
                <w:spacing w:val="-2"/>
              </w:rPr>
            </w:pPr>
            <w:r w:rsidRPr="00DF7CE4">
              <w:rPr>
                <w:spacing w:val="-2"/>
              </w:rPr>
              <w:t>High</w:t>
            </w:r>
          </w:p>
        </w:tc>
        <w:tc>
          <w:tcPr>
            <w:tcW w:w="1296" w:type="dxa"/>
            <w:vAlign w:val="center"/>
          </w:tcPr>
          <w:p w:rsidR="008E664F" w:rsidRPr="00DF7CE4" w:rsidRDefault="008E664F" w:rsidP="001E31DB">
            <w:pPr>
              <w:adjustRightInd w:val="0"/>
              <w:jc w:val="center"/>
              <w:rPr>
                <w:spacing w:val="-2"/>
              </w:rPr>
            </w:pPr>
            <w:r w:rsidRPr="00DF7CE4">
              <w:rPr>
                <w:spacing w:val="-2"/>
              </w:rPr>
              <w:t>180-220</w:t>
            </w:r>
          </w:p>
        </w:tc>
      </w:tr>
      <w:tr w:rsidR="008E664F" w:rsidRPr="00DF7CE4" w:rsidTr="001E31DB">
        <w:trPr>
          <w:trHeight w:val="552"/>
          <w:jc w:val="center"/>
        </w:trPr>
        <w:tc>
          <w:tcPr>
            <w:tcW w:w="5040" w:type="dxa"/>
            <w:vAlign w:val="center"/>
          </w:tcPr>
          <w:p w:rsidR="008E664F" w:rsidRPr="00DF7CE4" w:rsidRDefault="008E664F" w:rsidP="001E31DB">
            <w:pPr>
              <w:adjustRightInd w:val="0"/>
              <w:rPr>
                <w:spacing w:val="-2"/>
              </w:rPr>
            </w:pPr>
            <w:r w:rsidRPr="00DF7CE4">
              <w:rPr>
                <w:spacing w:val="-2"/>
              </w:rPr>
              <w:t>Cement-treated subbases</w:t>
            </w:r>
          </w:p>
        </w:tc>
        <w:tc>
          <w:tcPr>
            <w:tcW w:w="1152" w:type="dxa"/>
            <w:vAlign w:val="center"/>
          </w:tcPr>
          <w:p w:rsidR="008E664F" w:rsidRPr="00DF7CE4" w:rsidRDefault="008E664F" w:rsidP="001E31DB">
            <w:pPr>
              <w:adjustRightInd w:val="0"/>
              <w:jc w:val="center"/>
              <w:rPr>
                <w:spacing w:val="-2"/>
              </w:rPr>
            </w:pPr>
            <w:r w:rsidRPr="00DF7CE4">
              <w:rPr>
                <w:spacing w:val="-2"/>
              </w:rPr>
              <w:t>Very high</w:t>
            </w:r>
          </w:p>
        </w:tc>
        <w:tc>
          <w:tcPr>
            <w:tcW w:w="1296" w:type="dxa"/>
            <w:vAlign w:val="center"/>
          </w:tcPr>
          <w:p w:rsidR="008E664F" w:rsidRPr="00DF7CE4" w:rsidRDefault="008E664F" w:rsidP="001E31DB">
            <w:pPr>
              <w:adjustRightInd w:val="0"/>
              <w:jc w:val="center"/>
              <w:rPr>
                <w:spacing w:val="-2"/>
              </w:rPr>
            </w:pPr>
            <w:r w:rsidRPr="00DF7CE4">
              <w:rPr>
                <w:spacing w:val="-2"/>
              </w:rPr>
              <w:t>250-400</w:t>
            </w:r>
          </w:p>
        </w:tc>
      </w:tr>
    </w:tbl>
    <w:p w:rsidR="001E31DB" w:rsidRDefault="001E31DB" w:rsidP="00AC0FAD">
      <w:pPr>
        <w:adjustRightInd w:val="0"/>
        <w:rPr>
          <w:spacing w:val="-2"/>
        </w:rPr>
      </w:pPr>
    </w:p>
    <w:p w:rsidR="007E4D1D" w:rsidRDefault="007E4D1D" w:rsidP="001E31DB">
      <w:pPr>
        <w:pStyle w:val="Heading4"/>
      </w:pPr>
      <w:bookmarkStart w:id="21" w:name="_Toc295918607"/>
      <w:r>
        <w:t>California Bearing Ratio</w:t>
      </w:r>
      <w:bookmarkEnd w:id="21"/>
    </w:p>
    <w:p w:rsidR="007E4D1D" w:rsidRDefault="007E4D1D" w:rsidP="001E31DB">
      <w:r>
        <w:t xml:space="preserve">For decades, the California Bearing Ratio (CBR) test was the standard test used to develop an empirical understanding of the shear capacity of a soil or granular material.  Described under AASHTO T 193, </w:t>
      </w:r>
      <w:r>
        <w:rPr>
          <w:i/>
        </w:rPr>
        <w:t>Standard Method of Test for the California Bearing Ratio</w:t>
      </w:r>
      <w:r>
        <w:t>, the test method compares the pressure required to insert a small diameter piston (1.95-in) into th</w:t>
      </w:r>
      <w:r w:rsidR="00E43A0F">
        <w:t>e</w:t>
      </w:r>
      <w:r>
        <w:t xml:space="preserve"> material at a rate of 0.05 in/min to the pressure required to insert the same piston into a standard well-graded crushed stone.  The CBR is computed using the following equation:</w:t>
      </w:r>
    </w:p>
    <w:p w:rsidR="007E4D1D" w:rsidRDefault="007E4D1D" w:rsidP="001E31DB"/>
    <w:p w:rsidR="007E4D1D" w:rsidRPr="001E31DB" w:rsidRDefault="001E31DB" w:rsidP="001E31DB">
      <w:pPr>
        <w:tabs>
          <w:tab w:val="center" w:pos="4680"/>
          <w:tab w:val="right" w:pos="9360"/>
        </w:tabs>
        <w:rPr>
          <w:rFonts w:eastAsiaTheme="minorEastAsia"/>
          <w:szCs w:val="24"/>
        </w:rPr>
      </w:pPr>
      <w:r>
        <w:rPr>
          <w:szCs w:val="24"/>
        </w:rPr>
        <w:tab/>
      </w:r>
      <m:oMath>
        <m:r>
          <w:rPr>
            <w:rFonts w:ascii="Cambria Math" w:eastAsiaTheme="minorEastAsia" w:hAnsi="Cambria Math" w:cstheme="minorBidi"/>
            <w:szCs w:val="24"/>
          </w:rPr>
          <m:t>CBR</m:t>
        </m:r>
        <m:d>
          <m:dPr>
            <m:ctrlPr>
              <w:rPr>
                <w:rFonts w:ascii="Cambria Math" w:eastAsiaTheme="minorEastAsia" w:hAnsi="Cambria Math" w:cstheme="minorBidi"/>
                <w:i/>
                <w:szCs w:val="24"/>
              </w:rPr>
            </m:ctrlPr>
          </m:dPr>
          <m:e>
            <m:r>
              <w:rPr>
                <w:rFonts w:ascii="Cambria Math" w:eastAsiaTheme="minorEastAsia" w:hAnsi="Cambria Math" w:cstheme="minorBidi"/>
                <w:szCs w:val="24"/>
              </w:rPr>
              <m:t>%</m:t>
            </m:r>
          </m:e>
        </m:d>
        <m:r>
          <w:rPr>
            <w:rFonts w:ascii="Cambria Math" w:eastAsiaTheme="minorEastAsia" w:hAnsi="Cambria Math" w:cstheme="minorBidi"/>
            <w:szCs w:val="24"/>
          </w:rPr>
          <m:t>=100</m:t>
        </m:r>
        <m:d>
          <m:dPr>
            <m:ctrlPr>
              <w:rPr>
                <w:rFonts w:ascii="Cambria Math" w:eastAsiaTheme="minorEastAsia" w:hAnsi="Cambria Math" w:cstheme="minorBidi"/>
                <w:i/>
                <w:szCs w:val="24"/>
              </w:rPr>
            </m:ctrlPr>
          </m:dPr>
          <m:e>
            <m:f>
              <m:fPr>
                <m:ctrlPr>
                  <w:rPr>
                    <w:rFonts w:ascii="Cambria Math" w:eastAsiaTheme="minorEastAsia" w:hAnsi="Cambria Math" w:cstheme="minorBidi"/>
                    <w:i/>
                    <w:szCs w:val="24"/>
                  </w:rPr>
                </m:ctrlPr>
              </m:fPr>
              <m:num>
                <m:r>
                  <w:rPr>
                    <w:rFonts w:ascii="Cambria Math" w:eastAsiaTheme="minorEastAsia" w:hAnsi="Cambria Math" w:cstheme="minorBidi"/>
                    <w:szCs w:val="24"/>
                  </w:rPr>
                  <m:t>x</m:t>
                </m:r>
              </m:num>
              <m:den>
                <m:r>
                  <w:rPr>
                    <w:rFonts w:ascii="Cambria Math" w:eastAsiaTheme="minorEastAsia" w:hAnsi="Cambria Math" w:cstheme="minorBidi"/>
                    <w:szCs w:val="24"/>
                  </w:rPr>
                  <m:t>y</m:t>
                </m:r>
              </m:den>
            </m:f>
          </m:e>
        </m:d>
      </m:oMath>
      <w:r>
        <w:rPr>
          <w:rFonts w:ascii="Arial" w:eastAsiaTheme="minorEastAsia" w:hAnsi="Arial" w:cstheme="minorBidi"/>
          <w:i/>
          <w:szCs w:val="24"/>
        </w:rPr>
        <w:tab/>
      </w:r>
      <w:r w:rsidRPr="001E31DB">
        <w:rPr>
          <w:rFonts w:eastAsiaTheme="minorEastAsia"/>
          <w:szCs w:val="24"/>
        </w:rPr>
        <w:t>(</w:t>
      </w:r>
      <w:r w:rsidR="00402C07">
        <w:rPr>
          <w:szCs w:val="24"/>
        </w:rPr>
        <w:t>3-</w:t>
      </w:r>
      <w:r w:rsidRPr="001E31DB">
        <w:rPr>
          <w:rFonts w:eastAsiaTheme="minorEastAsia"/>
          <w:szCs w:val="24"/>
        </w:rPr>
        <w:t>7)</w:t>
      </w:r>
    </w:p>
    <w:p w:rsidR="007E4D1D" w:rsidRPr="001E31DB" w:rsidRDefault="007E4D1D" w:rsidP="001E31DB">
      <w:pPr>
        <w:spacing w:before="120" w:after="120"/>
        <w:rPr>
          <w:szCs w:val="24"/>
        </w:rPr>
      </w:pPr>
      <w:r w:rsidRPr="001E31DB">
        <w:rPr>
          <w:szCs w:val="24"/>
        </w:rPr>
        <w:t>where</w:t>
      </w:r>
      <w:r w:rsidR="001E31DB">
        <w:rPr>
          <w:szCs w:val="24"/>
        </w:rPr>
        <w:t>:</w:t>
      </w:r>
    </w:p>
    <w:p w:rsidR="005433F3" w:rsidRDefault="005433F3" w:rsidP="001E31DB">
      <w:pPr>
        <w:tabs>
          <w:tab w:val="right" w:pos="1080"/>
          <w:tab w:val="left" w:pos="1440"/>
          <w:tab w:val="left" w:pos="1800"/>
        </w:tabs>
        <w:ind w:left="1800" w:hanging="1800"/>
        <w:rPr>
          <w:i/>
          <w:szCs w:val="24"/>
        </w:rPr>
      </w:pPr>
      <w:r>
        <w:rPr>
          <w:i/>
          <w:szCs w:val="24"/>
        </w:rPr>
        <w:tab/>
        <w:t>CBR</w:t>
      </w:r>
      <w:r>
        <w:rPr>
          <w:i/>
          <w:szCs w:val="24"/>
        </w:rPr>
        <w:tab/>
        <w:t>=</w:t>
      </w:r>
      <w:r>
        <w:rPr>
          <w:i/>
          <w:szCs w:val="24"/>
        </w:rPr>
        <w:tab/>
      </w:r>
      <w:r w:rsidRPr="005433F3">
        <w:rPr>
          <w:szCs w:val="24"/>
        </w:rPr>
        <w:t>C</w:t>
      </w:r>
      <w:r w:rsidR="00DF35C4">
        <w:rPr>
          <w:szCs w:val="24"/>
        </w:rPr>
        <w:t>alifornia Bearing Ratio</w:t>
      </w:r>
    </w:p>
    <w:p w:rsidR="007E4D1D" w:rsidRPr="001E31DB" w:rsidRDefault="007E4D1D" w:rsidP="001E31DB">
      <w:pPr>
        <w:tabs>
          <w:tab w:val="right" w:pos="1080"/>
          <w:tab w:val="left" w:pos="1440"/>
          <w:tab w:val="left" w:pos="1800"/>
        </w:tabs>
        <w:ind w:left="1800" w:hanging="1800"/>
        <w:rPr>
          <w:szCs w:val="24"/>
        </w:rPr>
      </w:pPr>
      <w:r w:rsidRPr="001E31DB">
        <w:rPr>
          <w:i/>
          <w:szCs w:val="24"/>
        </w:rPr>
        <w:tab/>
        <w:t>x</w:t>
      </w:r>
      <w:r w:rsidR="001E31DB">
        <w:rPr>
          <w:szCs w:val="24"/>
        </w:rPr>
        <w:tab/>
        <w:t>=</w:t>
      </w:r>
      <w:r w:rsidR="001E31DB">
        <w:rPr>
          <w:szCs w:val="24"/>
        </w:rPr>
        <w:tab/>
        <w:t>U</w:t>
      </w:r>
      <w:r w:rsidRPr="001E31DB">
        <w:rPr>
          <w:szCs w:val="24"/>
        </w:rPr>
        <w:t>nit load on the piston for 0.1</w:t>
      </w:r>
      <w:r w:rsidR="00583AC9">
        <w:rPr>
          <w:szCs w:val="24"/>
        </w:rPr>
        <w:t xml:space="preserve"> </w:t>
      </w:r>
      <w:r w:rsidR="00DF35C4">
        <w:rPr>
          <w:szCs w:val="24"/>
        </w:rPr>
        <w:t>in.</w:t>
      </w:r>
      <w:r w:rsidR="00583AC9">
        <w:rPr>
          <w:szCs w:val="24"/>
        </w:rPr>
        <w:t xml:space="preserve"> </w:t>
      </w:r>
      <w:r w:rsidRPr="001E31DB">
        <w:rPr>
          <w:szCs w:val="24"/>
        </w:rPr>
        <w:t>or 0.2</w:t>
      </w:r>
      <w:r w:rsidR="00583AC9">
        <w:rPr>
          <w:szCs w:val="24"/>
        </w:rPr>
        <w:t xml:space="preserve"> </w:t>
      </w:r>
      <w:r w:rsidR="00DF35C4">
        <w:rPr>
          <w:szCs w:val="24"/>
        </w:rPr>
        <w:t>in.</w:t>
      </w:r>
      <w:r w:rsidR="00583AC9">
        <w:rPr>
          <w:szCs w:val="24"/>
        </w:rPr>
        <w:t xml:space="preserve"> </w:t>
      </w:r>
      <w:r w:rsidRPr="001E31DB">
        <w:rPr>
          <w:szCs w:val="24"/>
        </w:rPr>
        <w:t>of penetration, psi</w:t>
      </w:r>
    </w:p>
    <w:p w:rsidR="007E4D1D" w:rsidRPr="001E31DB" w:rsidRDefault="007E4D1D" w:rsidP="001E31DB">
      <w:pPr>
        <w:tabs>
          <w:tab w:val="right" w:pos="1080"/>
          <w:tab w:val="left" w:pos="1440"/>
          <w:tab w:val="left" w:pos="1800"/>
        </w:tabs>
        <w:ind w:left="1800" w:hanging="1800"/>
        <w:rPr>
          <w:i/>
          <w:szCs w:val="24"/>
        </w:rPr>
      </w:pPr>
      <w:r w:rsidRPr="001E31DB">
        <w:rPr>
          <w:i/>
          <w:szCs w:val="24"/>
        </w:rPr>
        <w:tab/>
        <w:t>y</w:t>
      </w:r>
      <w:r w:rsidR="001E31DB">
        <w:rPr>
          <w:i/>
          <w:szCs w:val="24"/>
        </w:rPr>
        <w:tab/>
        <w:t>=</w:t>
      </w:r>
      <w:r w:rsidR="001E31DB">
        <w:rPr>
          <w:i/>
          <w:szCs w:val="24"/>
        </w:rPr>
        <w:tab/>
      </w:r>
      <w:r w:rsidR="001E31DB">
        <w:rPr>
          <w:szCs w:val="24"/>
        </w:rPr>
        <w:t>U</w:t>
      </w:r>
      <w:r w:rsidRPr="001E31DB">
        <w:rPr>
          <w:szCs w:val="24"/>
        </w:rPr>
        <w:t>nit load on the piston for a well-graded crushed stone equal to 1000 psi at 0.1</w:t>
      </w:r>
      <w:r w:rsidR="00583AC9">
        <w:rPr>
          <w:szCs w:val="24"/>
        </w:rPr>
        <w:t xml:space="preserve"> </w:t>
      </w:r>
      <w:r w:rsidR="00DF35C4">
        <w:rPr>
          <w:szCs w:val="24"/>
        </w:rPr>
        <w:t>in.</w:t>
      </w:r>
      <w:r w:rsidR="00583AC9">
        <w:rPr>
          <w:szCs w:val="24"/>
        </w:rPr>
        <w:t xml:space="preserve"> </w:t>
      </w:r>
      <w:r w:rsidRPr="001E31DB">
        <w:rPr>
          <w:szCs w:val="24"/>
        </w:rPr>
        <w:t>and 1500 psi at 0.2 in</w:t>
      </w:r>
    </w:p>
    <w:p w:rsidR="00045223" w:rsidRPr="00045223" w:rsidRDefault="007E4D1D" w:rsidP="001E31DB">
      <w:pPr>
        <w:rPr>
          <w:color w:val="FF0000"/>
        </w:rPr>
      </w:pPr>
      <w:r>
        <w:t xml:space="preserve">The CBR test is purely empirical as the test conditions prevent the measure of a fundamental material property.  Further, as a static shear test, it is not measuring how a soil or aggregate base is expected to fail under a paved surface.  Yet, because the CBR test has been around for many decades, there is considerable intuitive knowledge that exists relating CBR to performance and thus the test is still used today, </w:t>
      </w:r>
      <w:r w:rsidR="005A3D1C">
        <w:t xml:space="preserve">though </w:t>
      </w:r>
      <w:r>
        <w:t>on a limited basis</w:t>
      </w:r>
      <w:r w:rsidR="001E31DB">
        <w:t>.</w:t>
      </w:r>
      <w:r w:rsidR="00D760B6">
        <w:t xml:space="preserve"> </w:t>
      </w:r>
      <w:r w:rsidR="00045223" w:rsidRPr="00045223">
        <w:rPr>
          <w:color w:val="FF0000"/>
        </w:rPr>
        <w:t>The following relationship is used to estimate Resilient Modulus from CBR:</w:t>
      </w:r>
    </w:p>
    <w:p w:rsidR="00045223" w:rsidRPr="00045223" w:rsidRDefault="00045223" w:rsidP="00045223">
      <w:pPr>
        <w:ind w:firstLine="720"/>
        <w:rPr>
          <w:color w:val="FF0000"/>
          <w:szCs w:val="24"/>
        </w:rPr>
      </w:pPr>
      <w:r w:rsidRPr="00045223">
        <w:rPr>
          <w:i/>
          <w:iCs/>
          <w:color w:val="FF0000"/>
          <w:szCs w:val="24"/>
        </w:rPr>
        <w:t>M</w:t>
      </w:r>
      <w:r w:rsidRPr="00045223">
        <w:rPr>
          <w:i/>
          <w:iCs/>
          <w:color w:val="FF0000"/>
          <w:sz w:val="16"/>
          <w:szCs w:val="16"/>
        </w:rPr>
        <w:t xml:space="preserve">Ropt </w:t>
      </w:r>
      <w:r w:rsidRPr="00045223">
        <w:rPr>
          <w:i/>
          <w:iCs/>
          <w:color w:val="FF0000"/>
          <w:szCs w:val="24"/>
        </w:rPr>
        <w:t>= 2555 (CBR)</w:t>
      </w:r>
      <w:r w:rsidRPr="00045223">
        <w:rPr>
          <w:i/>
          <w:iCs/>
          <w:color w:val="FF0000"/>
          <w:sz w:val="18"/>
          <w:szCs w:val="18"/>
          <w:vertAlign w:val="superscript"/>
        </w:rPr>
        <w:t>0.64</w:t>
      </w:r>
      <w:r w:rsidRPr="00045223">
        <w:rPr>
          <w:color w:val="FF0000"/>
          <w:szCs w:val="24"/>
        </w:rPr>
        <w:t>).</w:t>
      </w:r>
    </w:p>
    <w:p w:rsidR="005C297B" w:rsidRDefault="00D760B6" w:rsidP="00045223">
      <w:r>
        <w:lastRenderedPageBreak/>
        <w:t xml:space="preserve"> </w:t>
      </w:r>
      <w:r w:rsidR="00F3038B">
        <w:t xml:space="preserve">Figure </w:t>
      </w:r>
      <w:r w:rsidR="00AA7638">
        <w:t xml:space="preserve">3-4 </w:t>
      </w:r>
      <w:r w:rsidR="003A0E69">
        <w:t>illustrates approximate relationships between CBR and other soil classifications and properties.</w:t>
      </w:r>
    </w:p>
    <w:p w:rsidR="005C297B" w:rsidRDefault="005C297B" w:rsidP="001E31DB"/>
    <w:p w:rsidR="005C297B" w:rsidRDefault="005C297B" w:rsidP="005C297B">
      <w:pPr>
        <w:pStyle w:val="Heading4"/>
      </w:pPr>
      <w:bookmarkStart w:id="22" w:name="_Toc295918608"/>
      <w:bookmarkStart w:id="23" w:name="_Toc295918609"/>
      <w:r>
        <w:t xml:space="preserve">Triaxial </w:t>
      </w:r>
      <w:r w:rsidR="001F63B3">
        <w:t>S</w:t>
      </w:r>
      <w:r>
        <w:t xml:space="preserve">hear </w:t>
      </w:r>
      <w:r w:rsidR="001F63B3">
        <w:t>S</w:t>
      </w:r>
      <w:r>
        <w:t>trength</w:t>
      </w:r>
      <w:bookmarkEnd w:id="22"/>
    </w:p>
    <w:p w:rsidR="005C297B" w:rsidRDefault="005C297B" w:rsidP="005C297B">
      <w:r>
        <w:t xml:space="preserve">Unlike the CBR, the triaxial shear strength is an intrinsic property of the material.  As such, the shear strength determined through AASHTO T 296, </w:t>
      </w:r>
      <w:r>
        <w:rPr>
          <w:i/>
        </w:rPr>
        <w:t>Standard Method of Test for Unconsolidated, Undrained Compressive Strength of Cohesive Soils in Triaxial Compression</w:t>
      </w:r>
      <w:r>
        <w:t xml:space="preserve">, and AASHTO T 297, </w:t>
      </w:r>
      <w:r>
        <w:rPr>
          <w:i/>
        </w:rPr>
        <w:t>Standard Method of Test for Consolidated-Undrained Triaxial Compression Test on Cohesive Soils</w:t>
      </w:r>
      <w:r>
        <w:t xml:space="preserve"> can be used to develop the Mohr stress circle for use in geotechnical applications.  </w:t>
      </w:r>
      <w:r w:rsidR="004D4658">
        <w:t xml:space="preserve">In these test methods, cylindrical specimens are covered with a membrane, and </w:t>
      </w:r>
      <w:r w:rsidR="00A273A7" w:rsidRPr="00A273A7">
        <w:rPr>
          <w:color w:val="FF0000"/>
        </w:rPr>
        <w:t>may be</w:t>
      </w:r>
      <w:r w:rsidR="00A273A7">
        <w:t xml:space="preserve"> </w:t>
      </w:r>
      <w:r w:rsidR="004D4658">
        <w:t xml:space="preserve">subjected to a confining stress while being loaded to failure under a slowly applied axial force.  </w:t>
      </w:r>
      <w:r>
        <w:t xml:space="preserve">Further, the AASHTO T 208, </w:t>
      </w:r>
      <w:r>
        <w:rPr>
          <w:i/>
        </w:rPr>
        <w:t>Standard Method of Test for Unconfined Compressive Strength of Cohesive Soils</w:t>
      </w:r>
      <w:r>
        <w:t xml:space="preserve"> is a special case of a triaxial test in which the confining stress is set to zero.  </w:t>
      </w:r>
    </w:p>
    <w:p w:rsidR="004D4658" w:rsidRDefault="004D4658" w:rsidP="005C297B">
      <w:pPr>
        <w:rPr>
          <w:spacing w:val="-2"/>
        </w:rPr>
      </w:pPr>
    </w:p>
    <w:p w:rsidR="005C297B" w:rsidRDefault="001F63B3" w:rsidP="005C297B">
      <w:pPr>
        <w:rPr>
          <w:spacing w:val="-2"/>
        </w:rPr>
      </w:pPr>
      <w:r>
        <w:rPr>
          <w:spacing w:val="-2"/>
        </w:rPr>
        <w:t>Triaxial shear strength tests</w:t>
      </w:r>
      <w:r w:rsidR="005C297B">
        <w:rPr>
          <w:spacing w:val="-2"/>
        </w:rPr>
        <w:t xml:space="preserve"> are rarely used in pavement engineering</w:t>
      </w:r>
      <w:r w:rsidR="00D31AE2">
        <w:rPr>
          <w:spacing w:val="-2"/>
        </w:rPr>
        <w:t xml:space="preserve"> since </w:t>
      </w:r>
      <w:r>
        <w:rPr>
          <w:spacing w:val="-2"/>
        </w:rPr>
        <w:t xml:space="preserve">shear </w:t>
      </w:r>
      <w:r w:rsidR="005C297B">
        <w:rPr>
          <w:spacing w:val="-2"/>
        </w:rPr>
        <w:t>is not the typical mode of failure of unbound materials</w:t>
      </w:r>
      <w:r>
        <w:rPr>
          <w:spacing w:val="-2"/>
        </w:rPr>
        <w:t>.  In addition,</w:t>
      </w:r>
      <w:r w:rsidR="005C297B">
        <w:rPr>
          <w:spacing w:val="-2"/>
        </w:rPr>
        <w:t xml:space="preserve"> </w:t>
      </w:r>
      <w:r>
        <w:rPr>
          <w:spacing w:val="-2"/>
        </w:rPr>
        <w:t>triaxial shear strength tests</w:t>
      </w:r>
      <w:r w:rsidR="005C297B">
        <w:rPr>
          <w:spacing w:val="-2"/>
        </w:rPr>
        <w:t xml:space="preserve"> are static tests</w:t>
      </w:r>
      <w:r>
        <w:rPr>
          <w:spacing w:val="-2"/>
        </w:rPr>
        <w:t xml:space="preserve"> and </w:t>
      </w:r>
      <w:r w:rsidR="005C297B">
        <w:rPr>
          <w:spacing w:val="-2"/>
        </w:rPr>
        <w:t>do not adequately simulate the dynamic loading typical in pavements.</w:t>
      </w:r>
    </w:p>
    <w:p w:rsidR="005C297B" w:rsidRPr="00A43658" w:rsidRDefault="005C297B" w:rsidP="005C297B">
      <w:pPr>
        <w:rPr>
          <w:spacing w:val="-2"/>
        </w:rPr>
      </w:pPr>
    </w:p>
    <w:p w:rsidR="005C297B" w:rsidRDefault="005C297B" w:rsidP="005C297B">
      <w:pPr>
        <w:pStyle w:val="Heading4"/>
      </w:pPr>
      <w:r>
        <w:t>Moisture Content</w:t>
      </w:r>
      <w:bookmarkEnd w:id="23"/>
    </w:p>
    <w:p w:rsidR="005C297B" w:rsidRPr="00155824" w:rsidRDefault="005C297B" w:rsidP="005C297B">
      <w:r w:rsidRPr="00155824">
        <w:t xml:space="preserve">The moisture content of soil or aggregate can have profound impacts on performance, whether the material is being used as a pavement foundation or as an aggregate in </w:t>
      </w:r>
      <w:r w:rsidR="00B55EC9">
        <w:t>concrete</w:t>
      </w:r>
      <w:r w:rsidRPr="00155824">
        <w:t xml:space="preserve"> </w:t>
      </w:r>
      <w:r w:rsidR="00A273A7">
        <w:t>and</w:t>
      </w:r>
      <w:r w:rsidRPr="00155824">
        <w:t xml:space="preserve"> asphalt mixture</w:t>
      </w:r>
      <w:r w:rsidR="00A273A7">
        <w:t>s</w:t>
      </w:r>
      <w:r w:rsidRPr="00155824">
        <w:t>.  In the case of soils and unbound aggregate layers, moisture content affects the ability to achieve the desired density during construction, and while in service, will affect the material’s strength, stiffness, and permanent deformation characteristics, as well as shrinkage/swelling and potential for frost heave.  In the case of aggregates being used in bound layers, the moisture content must be known prior to mixing with hydraulic cement as it will impact the desire to achieve the design water-to-cementitious ratio.  In the case of asphalt</w:t>
      </w:r>
      <w:r w:rsidR="004B41EE">
        <w:t xml:space="preserve"> mixtures</w:t>
      </w:r>
      <w:r w:rsidRPr="00155824">
        <w:t>, high aggregate moisture contents will result in additional heating energy consumed in the drum mixer due to drying.</w:t>
      </w:r>
    </w:p>
    <w:p w:rsidR="005C297B" w:rsidRPr="00155824" w:rsidRDefault="005C297B" w:rsidP="005C297B"/>
    <w:p w:rsidR="005C297B" w:rsidRPr="00155824" w:rsidRDefault="005C297B" w:rsidP="005C297B">
      <w:r w:rsidRPr="00155824">
        <w:t xml:space="preserve">Moisture content of soil is determined in the laboratory using AASHTO T 265, </w:t>
      </w:r>
      <w:r w:rsidRPr="00155824">
        <w:rPr>
          <w:i/>
        </w:rPr>
        <w:t>Standard Method of Test for Laboratory Determination of Moisture Content of Soils</w:t>
      </w:r>
      <w:r w:rsidRPr="00155824">
        <w:t xml:space="preserve">.  This test requires that a representative quantity of moist soil be weighed, oven-dried, and weighed again, with the percent loss in mass being equated to moisture loss.  In the field, AASHTO T 310, </w:t>
      </w:r>
      <w:r w:rsidRPr="00155824">
        <w:rPr>
          <w:i/>
        </w:rPr>
        <w:t>Standard Specification for In-Place Density and Moisture Content of Soil and Soil-Aggregate by Nuclear Methods (Shallow Depth)</w:t>
      </w:r>
      <w:r w:rsidRPr="00155824">
        <w:t xml:space="preserve"> can be used to determine the density, moisture content, and relative compaction of soil and soil-aggregate mixtures.</w:t>
      </w:r>
    </w:p>
    <w:p w:rsidR="005C297B" w:rsidRDefault="005C297B"/>
    <w:p w:rsidR="00FD73CD" w:rsidRPr="001E31DB" w:rsidRDefault="003A0E69" w:rsidP="005C297B">
      <w:pPr>
        <w:adjustRightInd w:val="0"/>
        <w:jc w:val="center"/>
        <w:rPr>
          <w:spacing w:val="-2"/>
        </w:rPr>
      </w:pPr>
      <w:r w:rsidRPr="003A0E69">
        <w:rPr>
          <w:noProof/>
        </w:rPr>
        <w:lastRenderedPageBreak/>
        <w:drawing>
          <wp:inline distT="0" distB="0" distL="0" distR="0">
            <wp:extent cx="6057981" cy="7626928"/>
            <wp:effectExtent l="1905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3" cstate="print"/>
                    <a:srcRect l="2679"/>
                    <a:stretch>
                      <a:fillRect/>
                    </a:stretch>
                  </pic:blipFill>
                  <pic:spPr bwMode="auto">
                    <a:xfrm>
                      <a:off x="0" y="0"/>
                      <a:ext cx="6057981" cy="7626928"/>
                    </a:xfrm>
                    <a:prstGeom prst="rect">
                      <a:avLst/>
                    </a:prstGeom>
                    <a:noFill/>
                    <a:ln w="9525">
                      <a:noFill/>
                      <a:miter lim="800000"/>
                      <a:headEnd/>
                      <a:tailEnd/>
                    </a:ln>
                  </pic:spPr>
                </pic:pic>
              </a:graphicData>
            </a:graphic>
          </wp:inline>
        </w:drawing>
      </w:r>
    </w:p>
    <w:p w:rsidR="007E4D1D" w:rsidRDefault="001E31DB" w:rsidP="006902B0">
      <w:pPr>
        <w:pStyle w:val="APTechFigureCaption"/>
      </w:pPr>
      <w:bookmarkStart w:id="24" w:name="_Ref274322365"/>
      <w:bookmarkStart w:id="25" w:name="_Toc295918030"/>
      <w:r>
        <w:t>Figure</w:t>
      </w:r>
      <w:bookmarkEnd w:id="24"/>
      <w:r w:rsidR="005D69C9">
        <w:t xml:space="preserve"> </w:t>
      </w:r>
      <w:bookmarkStart w:id="26" w:name="F7"/>
      <w:r w:rsidR="00F3038B">
        <w:t>3-</w:t>
      </w:r>
      <w:bookmarkEnd w:id="26"/>
      <w:r w:rsidR="00CC4DEE">
        <w:t>4</w:t>
      </w:r>
      <w:r w:rsidR="00D760B6">
        <w:t>.</w:t>
      </w:r>
      <w:r w:rsidR="00FD73CD" w:rsidRPr="001E31DB">
        <w:t xml:space="preserve">  Approximate relationships between various soil classifications and properties</w:t>
      </w:r>
      <w:r w:rsidR="00D760B6">
        <w:br/>
      </w:r>
      <w:r w:rsidRPr="001E31DB">
        <w:t>(</w:t>
      </w:r>
      <w:r w:rsidR="00196CF4">
        <w:t>redrawn from PCA 1992</w:t>
      </w:r>
      <w:r w:rsidRPr="001E31DB">
        <w:t>)</w:t>
      </w:r>
      <w:r w:rsidR="00FD73CD" w:rsidRPr="001E31DB">
        <w:t>.</w:t>
      </w:r>
      <w:bookmarkEnd w:id="25"/>
    </w:p>
    <w:p w:rsidR="006902B0" w:rsidRDefault="006902B0" w:rsidP="006902B0"/>
    <w:p w:rsidR="006902B0" w:rsidRPr="00155824" w:rsidRDefault="006902B0" w:rsidP="006902B0"/>
    <w:p w:rsidR="007E4D1D" w:rsidRPr="00155824" w:rsidRDefault="007E4D1D" w:rsidP="00155824">
      <w:r w:rsidRPr="00155824">
        <w:lastRenderedPageBreak/>
        <w:t xml:space="preserve">In the laboratory, the moisture content of aggregate is determined using AASHTO T 255, </w:t>
      </w:r>
      <w:r w:rsidRPr="00155824">
        <w:rPr>
          <w:i/>
        </w:rPr>
        <w:t xml:space="preserve">Standard Method of Test for Total Moisture Content of Aggregate by Drying.  </w:t>
      </w:r>
      <w:r w:rsidRPr="00155824">
        <w:t>The method is similar to AASHTO T 265, except in the case of aggregate, the heat source used for drying may be a conventional oven, m</w:t>
      </w:r>
      <w:r w:rsidR="00D94BD8">
        <w:t>icrowave oven, or a hot plate.</w:t>
      </w:r>
    </w:p>
    <w:p w:rsidR="007E4D1D" w:rsidRPr="00155824" w:rsidRDefault="007E4D1D" w:rsidP="00155824"/>
    <w:p w:rsidR="007E4D1D" w:rsidRPr="00155824" w:rsidRDefault="007E4D1D" w:rsidP="00155824">
      <w:r w:rsidRPr="00155824">
        <w:t>Water exists within soil or aggregate in a number of ways.  For the purpose of this discussion, only water that is not chemically bound in the material is considered.  This is important as many minerals will be altered if the chemically bound water is lost during heating.  Thus, an oven-dried soil or aggregate has had all the water removed from pores that exist within and between the particles under controlled drying.  In the case of fine-grained soils, free water is found in the pore space that exists between the particles, being physically held under capillary action or present as gravitational water (water that will drain under the forces of gravity).  Capillary action, or capillarity, is due to surface tension and adhesion and is what causes water to rise in a thin tube against the forces of gravity.  The smaller the diameter of the tube, the stronger the capillary action and the higher the water will rise in the tube.  Thus, all things equal, the finer the particles that make up a soil, the greater the capillary forces.  Thus an air-dried soil will likely contain water in the smallest pores, but the larger pores will remain dry.  As the moisture content increases, all available pores become filled and the soil becomes saturated.  Additional water will be present as gravitational water that separates the soil particles.  The mass-volume relationship between air, water, and solids (particles) in a soil are often expressed in a soil phase diagram as shown in</w:t>
      </w:r>
      <w:r w:rsidR="005D69C9">
        <w:t xml:space="preserve"> </w:t>
      </w:r>
      <w:r w:rsidR="00F3038B">
        <w:t>Figure</w:t>
      </w:r>
      <w:r w:rsidR="00AA7638">
        <w:t xml:space="preserve"> 3-5.</w:t>
      </w:r>
    </w:p>
    <w:p w:rsidR="00D94BD8" w:rsidRDefault="00D94BD8" w:rsidP="00D94BD8"/>
    <w:p w:rsidR="007E4D1D" w:rsidRDefault="00155824" w:rsidP="00155824">
      <w:pPr>
        <w:jc w:val="center"/>
      </w:pPr>
      <w:r w:rsidRPr="00155824">
        <w:rPr>
          <w:noProof/>
        </w:rPr>
        <w:drawing>
          <wp:inline distT="0" distB="0" distL="0" distR="0">
            <wp:extent cx="5212080" cy="2998058"/>
            <wp:effectExtent l="19050" t="0" r="762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 cstate="print"/>
                    <a:srcRect/>
                    <a:stretch>
                      <a:fillRect/>
                    </a:stretch>
                  </pic:blipFill>
                  <pic:spPr bwMode="auto">
                    <a:xfrm>
                      <a:off x="0" y="0"/>
                      <a:ext cx="5212080" cy="2998058"/>
                    </a:xfrm>
                    <a:prstGeom prst="rect">
                      <a:avLst/>
                    </a:prstGeom>
                    <a:noFill/>
                    <a:ln w="9525">
                      <a:noFill/>
                      <a:miter lim="800000"/>
                      <a:headEnd/>
                      <a:tailEnd/>
                    </a:ln>
                  </pic:spPr>
                </pic:pic>
              </a:graphicData>
            </a:graphic>
          </wp:inline>
        </w:drawing>
      </w:r>
    </w:p>
    <w:p w:rsidR="00565DD7" w:rsidRPr="00155824" w:rsidRDefault="00155824" w:rsidP="004B4E81">
      <w:pPr>
        <w:pStyle w:val="APTechFigureCaption"/>
      </w:pPr>
      <w:bookmarkStart w:id="27" w:name="_Ref274326809"/>
      <w:bookmarkStart w:id="28" w:name="_Toc295918031"/>
      <w:r w:rsidRPr="00155824">
        <w:t>Figure</w:t>
      </w:r>
      <w:bookmarkEnd w:id="27"/>
      <w:r w:rsidR="005D69C9">
        <w:t xml:space="preserve"> </w:t>
      </w:r>
      <w:bookmarkStart w:id="29" w:name="F8"/>
      <w:r w:rsidR="00F3038B">
        <w:t>3-</w:t>
      </w:r>
      <w:bookmarkEnd w:id="29"/>
      <w:r w:rsidR="00CC4DEE">
        <w:t>5</w:t>
      </w:r>
      <w:r w:rsidRPr="00155824">
        <w:t xml:space="preserve">.  </w:t>
      </w:r>
      <w:r w:rsidR="00565DD7" w:rsidRPr="00155824">
        <w:t>Volumetric a</w:t>
      </w:r>
      <w:r w:rsidR="00FB56A0" w:rsidRPr="00155824">
        <w:t>nd mass relationships</w:t>
      </w:r>
      <w:r w:rsidR="00E1698B" w:rsidRPr="00155824">
        <w:t xml:space="preserve"> for a soil</w:t>
      </w:r>
      <w:r w:rsidR="00FB56A0" w:rsidRPr="00155824">
        <w:t xml:space="preserve"> shown as a phase diagram.</w:t>
      </w:r>
      <w:bookmarkEnd w:id="28"/>
    </w:p>
    <w:p w:rsidR="007E4D1D" w:rsidRDefault="007E4D1D" w:rsidP="00155824"/>
    <w:p w:rsidR="00595105" w:rsidRDefault="00595105" w:rsidP="00595105">
      <w:r>
        <w:t>As an aside, particle size and capillary action also affect the ability of water to move upward through the soil above the water table, and thus impact phenomena such as the potential for frost heave.  This is why fine silty soils have a higher potential for frost heave than sands.  It is noted that although highly plastic clays are composed of very fine particles and have high capillarity, often the potential for frost heave is reduced because the plastic nature of the clay reduces permeability, slowing the formation of ice lenses.</w:t>
      </w:r>
    </w:p>
    <w:p w:rsidR="00595105" w:rsidRDefault="00595105" w:rsidP="00155824"/>
    <w:p w:rsidR="007E4D1D" w:rsidRDefault="007E4D1D" w:rsidP="00155824">
      <w:r>
        <w:lastRenderedPageBreak/>
        <w:t xml:space="preserve">For aggregates, the importance of water accessible voids within the particles themselves becomes important.  As with soils, an oven-dried aggregate has no free water contained within the internal pores that are within the aggregate.  In an air-dried state, aggregate will have some water contained within the smallest water accessible pores, but the larger pores remain dry.  The next moisture state, known as saturated surface dry (SSD), is important for proportioning concrete, as it is the condition when all the internal pores are saturated, yet the surface of the particles are dry.  An aggregate in this state will neither absorb water from its surroundings, nor contribute water, and thus from a </w:t>
      </w:r>
      <w:r w:rsidR="00B55EC9">
        <w:t>concrete</w:t>
      </w:r>
      <w:r>
        <w:t xml:space="preserve"> mix design perspective, will not influence the ratio of water to cement. </w:t>
      </w:r>
      <w:r w:rsidR="00D94BD8">
        <w:t xml:space="preserve"> </w:t>
      </w:r>
      <w:r>
        <w:t>The last state is simply known as wet, characterized by a fully saturated aggregate that has additional water present on the surface.  For fine aggregate, early stages of this latter condition is accompanied by an increase in volume known as “bulking” due to the formation of menisci between the sand particles</w:t>
      </w:r>
      <w:r w:rsidR="00A273A7" w:rsidRPr="00A273A7">
        <w:rPr>
          <w:color w:val="FF0000"/>
        </w:rPr>
        <w:t>, which is</w:t>
      </w:r>
      <w:r w:rsidR="00A273A7">
        <w:t xml:space="preserve"> </w:t>
      </w:r>
      <w:r>
        <w:t xml:space="preserve">an important consideration if materials are being proportioned by volume.  </w:t>
      </w:r>
      <w:r w:rsidR="00F3038B">
        <w:t>Figure</w:t>
      </w:r>
      <w:r w:rsidR="00AA7638">
        <w:t xml:space="preserve"> 3-6 </w:t>
      </w:r>
      <w:r w:rsidRPr="00C43C66">
        <w:t>illustrates the four moisture states for an aggregate particle.</w:t>
      </w:r>
    </w:p>
    <w:p w:rsidR="00D9395A" w:rsidRDefault="00D9395A" w:rsidP="00155824"/>
    <w:p w:rsidR="00D9395A" w:rsidRPr="00D9395A" w:rsidRDefault="00D9395A" w:rsidP="00155824">
      <w:pPr>
        <w:rPr>
          <w:color w:val="FF0000"/>
        </w:rPr>
      </w:pPr>
      <w:r w:rsidRPr="00D9395A">
        <w:rPr>
          <w:color w:val="FF0000"/>
        </w:rPr>
        <w:t>Porosity and absorption are important properties in the development of asphalt mixtures, as aggregates that absorb more liquid will require higher amounts of liquid asphalt.</w:t>
      </w:r>
    </w:p>
    <w:p w:rsidR="007E4D1D" w:rsidRPr="00D9395A" w:rsidRDefault="007E4D1D" w:rsidP="00155824">
      <w:pPr>
        <w:rPr>
          <w:color w:val="FF0000"/>
        </w:rPr>
      </w:pPr>
    </w:p>
    <w:p w:rsidR="00D94BD8" w:rsidRDefault="00D94BD8" w:rsidP="00D94BD8">
      <w:pPr>
        <w:pStyle w:val="Heading4"/>
      </w:pPr>
      <w:bookmarkStart w:id="30" w:name="_Toc295918610"/>
      <w:r>
        <w:t>Density</w:t>
      </w:r>
      <w:bookmarkEnd w:id="30"/>
    </w:p>
    <w:p w:rsidR="00D94BD8" w:rsidRPr="00844FC8" w:rsidRDefault="00D94BD8" w:rsidP="00D94BD8">
      <w:pPr>
        <w:rPr>
          <w:color w:val="7030A0"/>
        </w:rPr>
      </w:pPr>
      <w:r w:rsidRPr="00844FC8">
        <w:rPr>
          <w:color w:val="7030A0"/>
        </w:rPr>
        <w:t>The density of a material is defined as its mass per unit volume, mathematically expressed as:</w:t>
      </w:r>
    </w:p>
    <w:p w:rsidR="00D94BD8" w:rsidRDefault="00D94BD8" w:rsidP="00D94BD8"/>
    <w:p w:rsidR="00D94BD8" w:rsidRPr="00155824" w:rsidRDefault="00D94BD8" w:rsidP="00D94BD8">
      <w:pPr>
        <w:tabs>
          <w:tab w:val="center" w:pos="4680"/>
          <w:tab w:val="right" w:pos="9360"/>
        </w:tabs>
        <w:rPr>
          <w:rFonts w:eastAsiaTheme="minorEastAsia"/>
          <w:szCs w:val="24"/>
        </w:rPr>
      </w:pPr>
      <w:r>
        <w:rPr>
          <w:szCs w:val="24"/>
        </w:rPr>
        <w:tab/>
      </w:r>
      <m:oMath>
        <m:r>
          <w:rPr>
            <w:rFonts w:ascii="Cambria Math" w:eastAsiaTheme="minorEastAsia" w:hAnsi="Cambria Math" w:cstheme="minorBidi"/>
            <w:szCs w:val="24"/>
          </w:rPr>
          <m:t xml:space="preserve">ρ= </m:t>
        </m:r>
        <m:f>
          <m:fPr>
            <m:ctrlPr>
              <w:rPr>
                <w:rFonts w:ascii="Cambria Math" w:eastAsiaTheme="minorEastAsia" w:hAnsi="Cambria Math" w:cstheme="minorBidi"/>
                <w:i/>
                <w:szCs w:val="24"/>
              </w:rPr>
            </m:ctrlPr>
          </m:fPr>
          <m:num>
            <m:r>
              <w:rPr>
                <w:rFonts w:ascii="Cambria Math" w:eastAsiaTheme="minorEastAsia" w:hAnsi="Cambria Math" w:cstheme="minorBidi"/>
                <w:szCs w:val="24"/>
              </w:rPr>
              <m:t>m</m:t>
            </m:r>
          </m:num>
          <m:den>
            <m:r>
              <w:rPr>
                <w:rFonts w:ascii="Cambria Math" w:eastAsiaTheme="minorEastAsia" w:hAnsi="Cambria Math" w:cstheme="minorBidi"/>
                <w:szCs w:val="24"/>
              </w:rPr>
              <m:t>V</m:t>
            </m:r>
          </m:den>
        </m:f>
      </m:oMath>
      <w:r>
        <w:rPr>
          <w:rFonts w:ascii="Arial" w:eastAsiaTheme="minorEastAsia" w:hAnsi="Arial" w:cstheme="minorBidi"/>
          <w:i/>
          <w:szCs w:val="24"/>
        </w:rPr>
        <w:tab/>
      </w:r>
      <w:r w:rsidRPr="00155824">
        <w:rPr>
          <w:rFonts w:eastAsiaTheme="minorEastAsia"/>
          <w:szCs w:val="24"/>
        </w:rPr>
        <w:t>(</w:t>
      </w:r>
      <w:r w:rsidR="00402C07">
        <w:rPr>
          <w:szCs w:val="24"/>
        </w:rPr>
        <w:t>3-</w:t>
      </w:r>
      <w:r w:rsidRPr="00155824">
        <w:rPr>
          <w:rFonts w:eastAsiaTheme="minorEastAsia"/>
          <w:szCs w:val="24"/>
        </w:rPr>
        <w:t>8)</w:t>
      </w:r>
    </w:p>
    <w:p w:rsidR="00D94BD8" w:rsidRDefault="00D94BD8" w:rsidP="00D94BD8"/>
    <w:p w:rsidR="00D94BD8" w:rsidRPr="00155824" w:rsidRDefault="00D94BD8" w:rsidP="00D94BD8">
      <w:pPr>
        <w:spacing w:before="120" w:after="120"/>
        <w:rPr>
          <w:szCs w:val="24"/>
        </w:rPr>
      </w:pPr>
      <w:r w:rsidRPr="00155824">
        <w:rPr>
          <w:szCs w:val="24"/>
        </w:rPr>
        <w:t>where:</w:t>
      </w:r>
    </w:p>
    <w:p w:rsidR="00D94BD8" w:rsidRPr="00155824" w:rsidRDefault="00D94BD8" w:rsidP="00D94BD8">
      <w:pPr>
        <w:tabs>
          <w:tab w:val="right" w:pos="1080"/>
          <w:tab w:val="left" w:pos="1440"/>
          <w:tab w:val="left" w:pos="1800"/>
        </w:tabs>
        <w:ind w:left="1800" w:hanging="1800"/>
        <w:rPr>
          <w:i/>
          <w:szCs w:val="24"/>
        </w:rPr>
      </w:pPr>
      <w:r w:rsidRPr="00155824">
        <w:rPr>
          <w:i/>
          <w:szCs w:val="24"/>
        </w:rPr>
        <w:tab/>
        <w:t>ρ</w:t>
      </w:r>
      <w:r>
        <w:rPr>
          <w:i/>
          <w:szCs w:val="24"/>
        </w:rPr>
        <w:tab/>
        <w:t>=</w:t>
      </w:r>
      <w:r>
        <w:rPr>
          <w:i/>
          <w:szCs w:val="24"/>
        </w:rPr>
        <w:tab/>
      </w:r>
      <w:r w:rsidRPr="00155824">
        <w:rPr>
          <w:szCs w:val="24"/>
        </w:rPr>
        <w:t xml:space="preserve">Density, </w:t>
      </w:r>
      <w:r w:rsidR="00DF35C4">
        <w:rPr>
          <w:szCs w:val="24"/>
        </w:rPr>
        <w:t>lb/cu ft</w:t>
      </w:r>
    </w:p>
    <w:p w:rsidR="00D94BD8" w:rsidRPr="00155824" w:rsidRDefault="00D94BD8" w:rsidP="00D94BD8">
      <w:pPr>
        <w:tabs>
          <w:tab w:val="right" w:pos="1080"/>
          <w:tab w:val="left" w:pos="1440"/>
          <w:tab w:val="left" w:pos="1800"/>
        </w:tabs>
        <w:ind w:left="1800" w:hanging="1800"/>
        <w:rPr>
          <w:i/>
          <w:szCs w:val="24"/>
        </w:rPr>
      </w:pPr>
      <w:r w:rsidRPr="00155824">
        <w:rPr>
          <w:i/>
          <w:szCs w:val="24"/>
        </w:rPr>
        <w:tab/>
        <w:t>m</w:t>
      </w:r>
      <w:r>
        <w:rPr>
          <w:i/>
          <w:szCs w:val="24"/>
        </w:rPr>
        <w:tab/>
        <w:t>=</w:t>
      </w:r>
      <w:r>
        <w:rPr>
          <w:i/>
          <w:szCs w:val="24"/>
        </w:rPr>
        <w:tab/>
      </w:r>
      <w:r w:rsidR="00DF35C4">
        <w:rPr>
          <w:szCs w:val="24"/>
        </w:rPr>
        <w:t>Mass, lb</w:t>
      </w:r>
    </w:p>
    <w:p w:rsidR="00D94BD8" w:rsidRPr="00155824" w:rsidRDefault="00D94BD8" w:rsidP="00D94BD8">
      <w:pPr>
        <w:tabs>
          <w:tab w:val="right" w:pos="1080"/>
          <w:tab w:val="left" w:pos="1440"/>
          <w:tab w:val="left" w:pos="1800"/>
        </w:tabs>
        <w:ind w:left="1800" w:hanging="1800"/>
        <w:rPr>
          <w:szCs w:val="24"/>
        </w:rPr>
      </w:pPr>
      <w:r w:rsidRPr="00155824">
        <w:rPr>
          <w:i/>
          <w:szCs w:val="24"/>
        </w:rPr>
        <w:tab/>
        <w:t>V</w:t>
      </w:r>
      <w:r>
        <w:rPr>
          <w:i/>
          <w:szCs w:val="24"/>
        </w:rPr>
        <w:tab/>
        <w:t>=</w:t>
      </w:r>
      <w:r>
        <w:rPr>
          <w:i/>
          <w:szCs w:val="24"/>
        </w:rPr>
        <w:tab/>
      </w:r>
      <w:r w:rsidRPr="00155824">
        <w:rPr>
          <w:szCs w:val="24"/>
        </w:rPr>
        <w:t xml:space="preserve">Volume, </w:t>
      </w:r>
      <w:r>
        <w:rPr>
          <w:szCs w:val="24"/>
        </w:rPr>
        <w:t>cu ft</w:t>
      </w:r>
    </w:p>
    <w:p w:rsidR="00595105" w:rsidRDefault="00595105">
      <w:pPr>
        <w:rPr>
          <w:spacing w:val="-2"/>
        </w:rPr>
      </w:pPr>
    </w:p>
    <w:p w:rsidR="00D94BD8" w:rsidRDefault="00D94BD8">
      <w:pPr>
        <w:rPr>
          <w:spacing w:val="-2"/>
        </w:rPr>
      </w:pPr>
    </w:p>
    <w:p w:rsidR="007E4D1D" w:rsidRDefault="00303D1E" w:rsidP="005D7610">
      <w:pPr>
        <w:adjustRightInd w:val="0"/>
        <w:jc w:val="center"/>
        <w:rPr>
          <w:spacing w:val="-2"/>
        </w:rPr>
      </w:pPr>
      <w:r>
        <w:rPr>
          <w:noProof/>
          <w:spacing w:val="-2"/>
        </w:rPr>
        <w:drawing>
          <wp:inline distT="0" distB="0" distL="0" distR="0">
            <wp:extent cx="5936615" cy="1464310"/>
            <wp:effectExtent l="0" t="0" r="0" b="0"/>
            <wp:docPr id="17" name="Picture 17" descr="agg moi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gg moisture"/>
                    <pic:cNvPicPr>
                      <a:picLocks noChangeAspect="1" noChangeArrowheads="1"/>
                    </pic:cNvPicPr>
                  </pic:nvPicPr>
                  <pic:blipFill>
                    <a:blip r:embed="rId15" cstate="print"/>
                    <a:srcRect l="5106" t="37848" r="2444" b="24391"/>
                    <a:stretch>
                      <a:fillRect/>
                    </a:stretch>
                  </pic:blipFill>
                  <pic:spPr bwMode="auto">
                    <a:xfrm>
                      <a:off x="0" y="0"/>
                      <a:ext cx="5936615" cy="1464310"/>
                    </a:xfrm>
                    <a:prstGeom prst="rect">
                      <a:avLst/>
                    </a:prstGeom>
                    <a:noFill/>
                    <a:ln w="9525">
                      <a:noFill/>
                      <a:miter lim="800000"/>
                      <a:headEnd/>
                      <a:tailEnd/>
                    </a:ln>
                  </pic:spPr>
                </pic:pic>
              </a:graphicData>
            </a:graphic>
          </wp:inline>
        </w:drawing>
      </w:r>
    </w:p>
    <w:p w:rsidR="007E4D1D" w:rsidRDefault="00155824" w:rsidP="004B4E81">
      <w:pPr>
        <w:pStyle w:val="APTechFigureCaption"/>
      </w:pPr>
      <w:bookmarkStart w:id="31" w:name="_Ref274326850"/>
      <w:bookmarkStart w:id="32" w:name="_Toc295918032"/>
      <w:r>
        <w:t>Figure</w:t>
      </w:r>
      <w:bookmarkEnd w:id="31"/>
      <w:r w:rsidR="005D69C9">
        <w:t xml:space="preserve"> </w:t>
      </w:r>
      <w:bookmarkStart w:id="33" w:name="F9"/>
      <w:r w:rsidR="00F3038B">
        <w:t>3-</w:t>
      </w:r>
      <w:bookmarkEnd w:id="33"/>
      <w:r w:rsidR="00CC4DEE">
        <w:t>6.</w:t>
      </w:r>
      <w:r>
        <w:t xml:space="preserve">  </w:t>
      </w:r>
      <w:r w:rsidR="007E4D1D">
        <w:t xml:space="preserve">Four moisture states of aggregate: a) oven-dry, </w:t>
      </w:r>
      <w:r>
        <w:br/>
      </w:r>
      <w:r w:rsidR="007E4D1D">
        <w:t>b) air-dry, c) saturated surface-dry, and d) wet.</w:t>
      </w:r>
      <w:bookmarkEnd w:id="32"/>
    </w:p>
    <w:p w:rsidR="00155824" w:rsidRPr="00155824" w:rsidRDefault="00155824" w:rsidP="00155824"/>
    <w:p w:rsidR="007E4D1D" w:rsidRDefault="007E4D1D" w:rsidP="00155824">
      <w:r>
        <w:t>Although it is simple to obtain a direct measure of the mass of a soil and aggregate, the measured mass is influence</w:t>
      </w:r>
      <w:r w:rsidR="00A17125">
        <w:t>d</w:t>
      </w:r>
      <w:r>
        <w:t xml:space="preserve"> by the moisture state (oven-dried, air-dried, saturated surface dry, or wet) of the material as previously discussed and the degree of compaction.  Further, choosing the volume to include in the equation is also important.</w:t>
      </w:r>
    </w:p>
    <w:p w:rsidR="007E4D1D" w:rsidRDefault="007E4D1D" w:rsidP="00155824"/>
    <w:p w:rsidR="007E4D1D" w:rsidRDefault="007E4D1D" w:rsidP="00155824">
      <w:r>
        <w:lastRenderedPageBreak/>
        <w:t xml:space="preserve">In general, the density for a soil is reported as a bulk dry density or simply dry density, which is the mass of the oven-dried material divided by the volume occupied by the particles (including solids and internal voids) and inter-particle void volume (which </w:t>
      </w:r>
      <w:r w:rsidR="00D94BD8">
        <w:t xml:space="preserve">is </w:t>
      </w:r>
      <w:r>
        <w:t>filled with water and/or air).  Thus, as a soil is compacted, the mass remains constant but the volume decreases as the inter-particle void volume is reduced, thus the density increases.</w:t>
      </w:r>
      <w:r w:rsidR="00D94BD8">
        <w:t xml:space="preserve"> </w:t>
      </w:r>
      <w:r>
        <w:t xml:space="preserve"> Up to a point, moisture facilitates this process, lubricating the particles and assisting in densification.  But beyond this point, additional water pushes the particles apart, resul</w:t>
      </w:r>
      <w:r w:rsidR="00D94BD8">
        <w:t>ting in a decrease in density.</w:t>
      </w:r>
    </w:p>
    <w:p w:rsidR="007E4D1D" w:rsidRDefault="007E4D1D" w:rsidP="00155824"/>
    <w:p w:rsidR="007E4D1D" w:rsidRPr="00BE04E0" w:rsidRDefault="007E4D1D" w:rsidP="00155824">
      <w:r>
        <w:t xml:space="preserve">Determining the moisture content at which dry density is at its highest level for a given compactive effort is the focus of AASHTO T 99, </w:t>
      </w:r>
      <w:r>
        <w:rPr>
          <w:i/>
        </w:rPr>
        <w:t>Standard Method of Test for the Moisture-Density Relations of Soil Using a 5.5 pound Rammer and 12-inch Drop</w:t>
      </w:r>
      <w:r>
        <w:t xml:space="preserve"> and AASHTO T 180, </w:t>
      </w:r>
      <w:r>
        <w:rPr>
          <w:i/>
        </w:rPr>
        <w:t>Standard Method of Test for the Moisture-Density Relations of Soil Using a 10 pound Rammer and 18-inch Drop</w:t>
      </w:r>
      <w:r>
        <w:t xml:space="preserve">.  In these test methods, a series of soil samples are prepared at different moisture contents and compacted using the specified compactive effort.  The dry density of each is determined and plotted against the moisture content to develop a moisture-density curve such as that shown in </w:t>
      </w:r>
      <w:r w:rsidR="00F3038B">
        <w:t>Figure</w:t>
      </w:r>
      <w:r w:rsidR="00AA7638">
        <w:t xml:space="preserve"> 3-7</w:t>
      </w:r>
      <w:r>
        <w:t xml:space="preserve">.  In this example, the </w:t>
      </w:r>
      <w:r w:rsidRPr="00AF71B8">
        <w:rPr>
          <w:color w:val="FF0000"/>
        </w:rPr>
        <w:t xml:space="preserve">maximum </w:t>
      </w:r>
      <w:r w:rsidR="00AF71B8" w:rsidRPr="00AF71B8">
        <w:rPr>
          <w:color w:val="FF0000"/>
        </w:rPr>
        <w:t>unit weight</w:t>
      </w:r>
      <w:r>
        <w:t xml:space="preserve"> is 115.2 lb/ft</w:t>
      </w:r>
      <w:r>
        <w:rPr>
          <w:vertAlign w:val="superscript"/>
        </w:rPr>
        <w:t>3</w:t>
      </w:r>
      <w:r>
        <w:t xml:space="preserve"> at a moi</w:t>
      </w:r>
      <w:r w:rsidR="00933DCA">
        <w:t>sture content of 13.8 percent.</w:t>
      </w:r>
    </w:p>
    <w:p w:rsidR="00D94BD8" w:rsidRDefault="00D94BD8" w:rsidP="00B475F5"/>
    <w:p w:rsidR="007E4D1D" w:rsidRPr="00B677A6" w:rsidRDefault="00303D1E" w:rsidP="00997598">
      <w:pPr>
        <w:adjustRightInd w:val="0"/>
        <w:ind w:left="720"/>
      </w:pPr>
      <w:r>
        <w:rPr>
          <w:noProof/>
        </w:rPr>
        <w:drawing>
          <wp:inline distT="0" distB="0" distL="0" distR="0">
            <wp:extent cx="5143500" cy="302180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srcRect t="12422"/>
                    <a:stretch>
                      <a:fillRect/>
                    </a:stretch>
                  </pic:blipFill>
                  <pic:spPr bwMode="auto">
                    <a:xfrm>
                      <a:off x="0" y="0"/>
                      <a:ext cx="5143500" cy="3021806"/>
                    </a:xfrm>
                    <a:prstGeom prst="rect">
                      <a:avLst/>
                    </a:prstGeom>
                    <a:noFill/>
                    <a:ln w="9525">
                      <a:noFill/>
                      <a:miter lim="800000"/>
                      <a:headEnd/>
                      <a:tailEnd/>
                    </a:ln>
                  </pic:spPr>
                </pic:pic>
              </a:graphicData>
            </a:graphic>
          </wp:inline>
        </w:drawing>
      </w:r>
    </w:p>
    <w:p w:rsidR="007E4D1D" w:rsidRPr="00BE04E0" w:rsidRDefault="00F3038B" w:rsidP="004B4E81">
      <w:pPr>
        <w:pStyle w:val="APTechFigureCaption"/>
      </w:pPr>
      <w:bookmarkStart w:id="34" w:name="_Toc295918033"/>
      <w:r>
        <w:t xml:space="preserve">Figure </w:t>
      </w:r>
      <w:bookmarkStart w:id="35" w:name="f10"/>
      <w:r>
        <w:t>3-</w:t>
      </w:r>
      <w:bookmarkEnd w:id="35"/>
      <w:r w:rsidR="00CC4DEE">
        <w:t>7</w:t>
      </w:r>
      <w:r w:rsidR="007E4D1D">
        <w:t>.</w:t>
      </w:r>
      <w:r w:rsidR="00B475F5">
        <w:t xml:space="preserve"> </w:t>
      </w:r>
      <w:r w:rsidR="007E4D1D">
        <w:t xml:space="preserve"> Typical moisture-density plot illustrating optimal moisture content.</w:t>
      </w:r>
      <w:bookmarkEnd w:id="34"/>
    </w:p>
    <w:p w:rsidR="007E4D1D" w:rsidRDefault="007E4D1D" w:rsidP="00B475F5"/>
    <w:p w:rsidR="00595105" w:rsidRDefault="00595105" w:rsidP="00B475F5"/>
    <w:p w:rsidR="00595105" w:rsidRDefault="00595105" w:rsidP="00595105">
      <w:r>
        <w:t>AASHTO T 99 and T 180 Methods C and D can also be used to determine the moisture density-relationships for dense-graded aggregate for use in the construction of subbases and bases.</w:t>
      </w:r>
    </w:p>
    <w:p w:rsidR="00595105" w:rsidRPr="00582B73" w:rsidRDefault="00595105" w:rsidP="00595105">
      <w:pPr>
        <w:rPr>
          <w:color w:val="FF0000"/>
        </w:rPr>
      </w:pPr>
    </w:p>
    <w:p w:rsidR="00CF474F" w:rsidRPr="00582B73" w:rsidRDefault="00CF474F" w:rsidP="00595105">
      <w:pPr>
        <w:rPr>
          <w:rFonts w:ascii="Arial" w:hAnsi="Arial" w:cs="Arial"/>
          <w:i/>
          <w:color w:val="FF0000"/>
        </w:rPr>
      </w:pPr>
      <w:r w:rsidRPr="00582B73">
        <w:rPr>
          <w:rFonts w:ascii="Arial" w:hAnsi="Arial" w:cs="Arial"/>
          <w:i/>
          <w:color w:val="FF0000"/>
        </w:rPr>
        <w:t>Permeability</w:t>
      </w:r>
    </w:p>
    <w:p w:rsidR="00582B73" w:rsidRPr="00582B73" w:rsidRDefault="00582B73" w:rsidP="00595105">
      <w:pPr>
        <w:rPr>
          <w:rFonts w:ascii="Arial" w:hAnsi="Arial" w:cs="Arial"/>
          <w:i/>
          <w:color w:val="FF0000"/>
        </w:rPr>
      </w:pPr>
    </w:p>
    <w:p w:rsidR="00CF474F" w:rsidRPr="00582B73" w:rsidRDefault="00CF474F" w:rsidP="00595105">
      <w:pPr>
        <w:rPr>
          <w:color w:val="FF0000"/>
        </w:rPr>
      </w:pPr>
      <w:r w:rsidRPr="00582B73">
        <w:rPr>
          <w:color w:val="FF0000"/>
        </w:rPr>
        <w:t>Permeability is the rate of flow through a cross sectional area.  It is a function of particle size, with fine grained soils hav</w:t>
      </w:r>
      <w:r w:rsidR="00582B73" w:rsidRPr="00582B73">
        <w:rPr>
          <w:color w:val="FF0000"/>
        </w:rPr>
        <w:t>ing</w:t>
      </w:r>
      <w:r w:rsidRPr="00582B73">
        <w:rPr>
          <w:color w:val="FF0000"/>
        </w:rPr>
        <w:t xml:space="preserve"> very low permeability and large grained soils without significant fines having very high permeability.  Permeability is also an engineering property of asphalt, concrete, and porous pavement materials.  Test methods include</w:t>
      </w:r>
      <w:r w:rsidR="00582B73" w:rsidRPr="00582B73">
        <w:rPr>
          <w:color w:val="FF0000"/>
        </w:rPr>
        <w:t>, among others,</w:t>
      </w:r>
      <w:r w:rsidRPr="00582B73">
        <w:rPr>
          <w:color w:val="FF0000"/>
        </w:rPr>
        <w:t xml:space="preserve"> ASTM D2434-68,</w:t>
      </w:r>
      <w:r w:rsidR="00582B73" w:rsidRPr="00582B73">
        <w:rPr>
          <w:color w:val="FF0000"/>
        </w:rPr>
        <w:t xml:space="preserve"> ASTM D6391-11</w:t>
      </w:r>
    </w:p>
    <w:p w:rsidR="00CF474F" w:rsidRDefault="00CF474F" w:rsidP="00595105"/>
    <w:p w:rsidR="00DA24FA" w:rsidRDefault="00DA24FA" w:rsidP="00DA24FA">
      <w:pPr>
        <w:pStyle w:val="Heading4"/>
      </w:pPr>
      <w:r>
        <w:t>Specific Gravity</w:t>
      </w:r>
    </w:p>
    <w:p w:rsidR="007E4D1D" w:rsidRPr="00B166DC" w:rsidRDefault="007E4D1D" w:rsidP="00B475F5">
      <w:pPr>
        <w:rPr>
          <w:i/>
        </w:rPr>
      </w:pPr>
      <w:r>
        <w:t xml:space="preserve">The specific gravities of the aggregate must also be known for mixture design.  The specific gravity is a dimensionless </w:t>
      </w:r>
      <w:r w:rsidR="009C3CFE">
        <w:t>property</w:t>
      </w:r>
      <w:r>
        <w:t xml:space="preserve"> that is the ratio of the density of the material to that of a standard material, which is almost always water.  The specific gravities of aggregates are determined in accordance with AASHTO T 84, </w:t>
      </w:r>
      <w:r>
        <w:rPr>
          <w:i/>
        </w:rPr>
        <w:t xml:space="preserve">Standard Method of Test for Specific Gravity and Absorption of Fine Aggregate </w:t>
      </w:r>
      <w:r>
        <w:t xml:space="preserve">and AASHTO T 85, </w:t>
      </w:r>
      <w:r>
        <w:rPr>
          <w:i/>
        </w:rPr>
        <w:t>Standard Method of Test for Specific Gravity and Absorption of Coarse Aggregate.</w:t>
      </w:r>
    </w:p>
    <w:p w:rsidR="007E4D1D" w:rsidRDefault="007E4D1D" w:rsidP="00B475F5"/>
    <w:p w:rsidR="007E4D1D" w:rsidRDefault="007E4D1D" w:rsidP="00B475F5">
      <w:r>
        <w:t xml:space="preserve">For aggregates used in </w:t>
      </w:r>
      <w:r w:rsidR="00B55EC9">
        <w:t>concrete</w:t>
      </w:r>
      <w:r>
        <w:t xml:space="preserve"> mixture design, the following specific gravities are required:</w:t>
      </w:r>
    </w:p>
    <w:p w:rsidR="007E4D1D" w:rsidRDefault="007E4D1D" w:rsidP="00B475F5"/>
    <w:p w:rsidR="007E4D1D" w:rsidRPr="008711D7" w:rsidRDefault="00B475F5" w:rsidP="00B475F5">
      <w:pPr>
        <w:tabs>
          <w:tab w:val="center" w:pos="4680"/>
          <w:tab w:val="right" w:pos="9360"/>
        </w:tabs>
        <w:rPr>
          <w:rFonts w:eastAsiaTheme="minorEastAsia"/>
          <w:szCs w:val="24"/>
        </w:rPr>
      </w:pPr>
      <w:r>
        <w:rPr>
          <w:szCs w:val="24"/>
        </w:rPr>
        <w:tab/>
      </w:r>
      <m:oMath>
        <m:r>
          <m:rPr>
            <m:sty m:val="p"/>
          </m:rPr>
          <w:rPr>
            <w:rFonts w:ascii="Cambria Math" w:eastAsiaTheme="minorEastAsia" w:hAnsi="Cambria Math" w:cstheme="minorBidi"/>
            <w:szCs w:val="24"/>
          </w:rPr>
          <m:t xml:space="preserve">Bulk Specific Gravity (Dry)= </m:t>
        </m:r>
        <m:f>
          <m:fPr>
            <m:ctrlPr>
              <w:rPr>
                <w:rFonts w:ascii="Cambria Math" w:eastAsiaTheme="minorEastAsia" w:hAnsi="Cambria Math" w:cstheme="minorBidi"/>
                <w:szCs w:val="24"/>
              </w:rPr>
            </m:ctrlPr>
          </m:fPr>
          <m:num>
            <m:r>
              <m:rPr>
                <m:sty m:val="p"/>
              </m:rPr>
              <w:rPr>
                <w:rFonts w:ascii="Cambria Math" w:eastAsiaTheme="minorEastAsia" w:hAnsi="Cambria Math" w:cstheme="minorBidi"/>
                <w:szCs w:val="24"/>
              </w:rPr>
              <m:t>Dry Weight</m:t>
            </m:r>
          </m:num>
          <m:den>
            <m:d>
              <m:dPr>
                <m:ctrlPr>
                  <w:rPr>
                    <w:rFonts w:ascii="Cambria Math" w:eastAsiaTheme="minorEastAsia" w:hAnsi="Cambria Math" w:cstheme="minorBidi"/>
                    <w:szCs w:val="24"/>
                  </w:rPr>
                </m:ctrlPr>
              </m:dPr>
              <m:e>
                <m:r>
                  <m:rPr>
                    <m:sty m:val="p"/>
                  </m:rPr>
                  <w:rPr>
                    <w:rFonts w:ascii="Cambria Math" w:eastAsiaTheme="minorEastAsia" w:hAnsi="Cambria Math" w:cstheme="minorBidi"/>
                    <w:szCs w:val="24"/>
                  </w:rPr>
                  <m:t>Total Particle Volume</m:t>
                </m:r>
              </m:e>
            </m:d>
            <m:sSub>
              <m:sSubPr>
                <m:ctrlPr>
                  <w:rPr>
                    <w:rFonts w:ascii="Cambria Math" w:eastAsiaTheme="minorEastAsia" w:hAnsi="Cambria Math" w:cstheme="minorBidi"/>
                    <w:szCs w:val="24"/>
                  </w:rPr>
                </m:ctrlPr>
              </m:sSubPr>
              <m:e>
                <m:r>
                  <m:rPr>
                    <m:sty m:val="p"/>
                  </m:rPr>
                  <w:rPr>
                    <w:rFonts w:ascii="Cambria Math" w:eastAsiaTheme="minorEastAsia" w:hAnsi="Cambria Math" w:cstheme="minorBidi"/>
                    <w:szCs w:val="24"/>
                  </w:rPr>
                  <m:t>γ</m:t>
                </m:r>
              </m:e>
              <m:sub>
                <m:r>
                  <m:rPr>
                    <m:sty m:val="p"/>
                  </m:rPr>
                  <w:rPr>
                    <w:rFonts w:ascii="Cambria Math" w:eastAsiaTheme="minorEastAsia" w:hAnsi="Cambria Math" w:cstheme="minorBidi"/>
                    <w:szCs w:val="24"/>
                  </w:rPr>
                  <m:t>w</m:t>
                </m:r>
              </m:sub>
            </m:sSub>
          </m:den>
        </m:f>
        <m:r>
          <m:rPr>
            <m:sty m:val="p"/>
          </m:rPr>
          <w:rPr>
            <w:rFonts w:ascii="Cambria Math" w:eastAsiaTheme="minorEastAsia" w:hAnsi="Cambria Math" w:cstheme="minorBidi"/>
            <w:szCs w:val="24"/>
          </w:rPr>
          <m:t>=</m:t>
        </m:r>
        <m:f>
          <m:fPr>
            <m:ctrlPr>
              <w:rPr>
                <w:rFonts w:ascii="Cambria Math" w:eastAsiaTheme="minorEastAsia" w:hAnsi="Cambria Math" w:cstheme="minorBidi"/>
                <w:szCs w:val="24"/>
              </w:rPr>
            </m:ctrlPr>
          </m:fPr>
          <m:num>
            <m:sSub>
              <m:sSubPr>
                <m:ctrlPr>
                  <w:rPr>
                    <w:rFonts w:ascii="Cambria Math" w:eastAsiaTheme="minorEastAsia" w:hAnsi="Cambria Math" w:cstheme="minorBidi"/>
                    <w:szCs w:val="24"/>
                  </w:rPr>
                </m:ctrlPr>
              </m:sSubPr>
              <m:e>
                <m:r>
                  <m:rPr>
                    <m:sty m:val="p"/>
                  </m:rPr>
                  <w:rPr>
                    <w:rFonts w:ascii="Cambria Math" w:eastAsiaTheme="minorEastAsia" w:hAnsi="Cambria Math" w:cstheme="minorBidi"/>
                    <w:szCs w:val="24"/>
                  </w:rPr>
                  <m:t>W</m:t>
                </m:r>
              </m:e>
              <m:sub>
                <m:r>
                  <m:rPr>
                    <m:sty m:val="p"/>
                  </m:rPr>
                  <w:rPr>
                    <w:rFonts w:ascii="Cambria Math" w:eastAsiaTheme="minorEastAsia" w:hAnsi="Cambria Math" w:cstheme="minorBidi"/>
                    <w:szCs w:val="24"/>
                  </w:rPr>
                  <m:t>s</m:t>
                </m:r>
              </m:sub>
            </m:sSub>
          </m:num>
          <m:den>
            <m:d>
              <m:dPr>
                <m:ctrlPr>
                  <w:rPr>
                    <w:rFonts w:ascii="Cambria Math" w:eastAsiaTheme="minorEastAsia" w:hAnsi="Cambria Math" w:cstheme="minorBidi"/>
                    <w:szCs w:val="24"/>
                  </w:rPr>
                </m:ctrlPr>
              </m:dPr>
              <m:e>
                <m:sSub>
                  <m:sSubPr>
                    <m:ctrlPr>
                      <w:rPr>
                        <w:rFonts w:ascii="Cambria Math" w:eastAsiaTheme="minorEastAsia" w:hAnsi="Cambria Math" w:cstheme="minorBidi"/>
                        <w:szCs w:val="24"/>
                      </w:rPr>
                    </m:ctrlPr>
                  </m:sSubPr>
                  <m:e>
                    <m:r>
                      <m:rPr>
                        <m:sty m:val="p"/>
                      </m:rPr>
                      <w:rPr>
                        <w:rFonts w:ascii="Cambria Math" w:eastAsiaTheme="minorEastAsia" w:hAnsi="Cambria Math" w:cstheme="minorBidi"/>
                        <w:szCs w:val="24"/>
                      </w:rPr>
                      <m:t>V</m:t>
                    </m:r>
                  </m:e>
                  <m:sub>
                    <m:r>
                      <m:rPr>
                        <m:sty m:val="p"/>
                      </m:rPr>
                      <w:rPr>
                        <w:rFonts w:ascii="Cambria Math" w:eastAsiaTheme="minorEastAsia" w:hAnsi="Cambria Math" w:cstheme="minorBidi"/>
                        <w:szCs w:val="24"/>
                      </w:rPr>
                      <m:t>s</m:t>
                    </m:r>
                  </m:sub>
                </m:sSub>
                <m:r>
                  <m:rPr>
                    <m:sty m:val="p"/>
                  </m:rPr>
                  <w:rPr>
                    <w:rFonts w:ascii="Cambria Math" w:eastAsiaTheme="minorEastAsia" w:hAnsi="Cambria Math" w:cstheme="minorBidi"/>
                    <w:szCs w:val="24"/>
                  </w:rPr>
                  <m:t>+</m:t>
                </m:r>
                <m:sSub>
                  <m:sSubPr>
                    <m:ctrlPr>
                      <w:rPr>
                        <w:rFonts w:ascii="Cambria Math" w:eastAsiaTheme="minorEastAsia" w:hAnsi="Cambria Math" w:cstheme="minorBidi"/>
                        <w:szCs w:val="24"/>
                      </w:rPr>
                    </m:ctrlPr>
                  </m:sSubPr>
                  <m:e>
                    <m:r>
                      <m:rPr>
                        <m:sty m:val="p"/>
                      </m:rPr>
                      <w:rPr>
                        <w:rFonts w:ascii="Cambria Math" w:eastAsiaTheme="minorEastAsia" w:hAnsi="Cambria Math" w:cstheme="minorBidi"/>
                        <w:szCs w:val="24"/>
                      </w:rPr>
                      <m:t>V</m:t>
                    </m:r>
                  </m:e>
                  <m:sub>
                    <m:r>
                      <m:rPr>
                        <m:sty m:val="p"/>
                      </m:rPr>
                      <w:rPr>
                        <w:rFonts w:ascii="Cambria Math" w:eastAsiaTheme="minorEastAsia" w:hAnsi="Cambria Math" w:cstheme="minorBidi"/>
                        <w:szCs w:val="24"/>
                      </w:rPr>
                      <m:t>i</m:t>
                    </m:r>
                  </m:sub>
                </m:sSub>
                <m:r>
                  <m:rPr>
                    <m:sty m:val="p"/>
                  </m:rPr>
                  <w:rPr>
                    <w:rFonts w:ascii="Cambria Math" w:eastAsiaTheme="minorEastAsia" w:hAnsi="Cambria Math" w:cstheme="minorBidi"/>
                    <w:szCs w:val="24"/>
                  </w:rPr>
                  <m:t>+</m:t>
                </m:r>
                <m:sSub>
                  <m:sSubPr>
                    <m:ctrlPr>
                      <w:rPr>
                        <w:rFonts w:ascii="Cambria Math" w:eastAsiaTheme="minorEastAsia" w:hAnsi="Cambria Math" w:cstheme="minorBidi"/>
                        <w:szCs w:val="24"/>
                      </w:rPr>
                    </m:ctrlPr>
                  </m:sSubPr>
                  <m:e>
                    <m:r>
                      <m:rPr>
                        <m:sty m:val="p"/>
                      </m:rPr>
                      <w:rPr>
                        <w:rFonts w:ascii="Cambria Math" w:eastAsiaTheme="minorEastAsia" w:hAnsi="Cambria Math" w:cstheme="minorBidi"/>
                        <w:szCs w:val="24"/>
                      </w:rPr>
                      <m:t>V</m:t>
                    </m:r>
                  </m:e>
                  <m:sub>
                    <m:r>
                      <m:rPr>
                        <m:sty m:val="p"/>
                      </m:rPr>
                      <w:rPr>
                        <w:rFonts w:ascii="Cambria Math" w:eastAsiaTheme="minorEastAsia" w:hAnsi="Cambria Math" w:cstheme="minorBidi"/>
                        <w:szCs w:val="24"/>
                      </w:rPr>
                      <m:t>p</m:t>
                    </m:r>
                  </m:sub>
                </m:sSub>
              </m:e>
            </m:d>
            <m:sSub>
              <m:sSubPr>
                <m:ctrlPr>
                  <w:rPr>
                    <w:rFonts w:ascii="Cambria Math" w:eastAsiaTheme="minorEastAsia" w:hAnsi="Cambria Math" w:cstheme="minorBidi"/>
                    <w:szCs w:val="24"/>
                  </w:rPr>
                </m:ctrlPr>
              </m:sSubPr>
              <m:e>
                <m:r>
                  <m:rPr>
                    <m:sty m:val="p"/>
                  </m:rPr>
                  <w:rPr>
                    <w:rFonts w:ascii="Cambria Math" w:eastAsiaTheme="minorEastAsia" w:hAnsi="Cambria Math" w:cstheme="minorBidi"/>
                    <w:szCs w:val="24"/>
                  </w:rPr>
                  <m:t>γ</m:t>
                </m:r>
              </m:e>
              <m:sub>
                <m:r>
                  <m:rPr>
                    <m:sty m:val="p"/>
                  </m:rPr>
                  <w:rPr>
                    <w:rFonts w:ascii="Cambria Math" w:eastAsiaTheme="minorEastAsia" w:hAnsi="Cambria Math" w:cstheme="minorBidi"/>
                    <w:szCs w:val="24"/>
                  </w:rPr>
                  <m:t>w</m:t>
                </m:r>
              </m:sub>
            </m:sSub>
          </m:den>
        </m:f>
      </m:oMath>
      <w:r w:rsidRPr="008711D7">
        <w:rPr>
          <w:rFonts w:eastAsiaTheme="minorEastAsia"/>
          <w:szCs w:val="24"/>
        </w:rPr>
        <w:tab/>
        <w:t>(</w:t>
      </w:r>
      <w:r w:rsidR="00402C07" w:rsidRPr="008711D7">
        <w:rPr>
          <w:szCs w:val="24"/>
        </w:rPr>
        <w:t>3-</w:t>
      </w:r>
      <w:r w:rsidR="008711D7">
        <w:rPr>
          <w:rFonts w:eastAsiaTheme="minorEastAsia"/>
          <w:szCs w:val="24"/>
        </w:rPr>
        <w:t>9</w:t>
      </w:r>
      <w:r w:rsidRPr="008711D7">
        <w:rPr>
          <w:rFonts w:eastAsiaTheme="minorEastAsia"/>
          <w:szCs w:val="24"/>
        </w:rPr>
        <w:t>)</w:t>
      </w:r>
    </w:p>
    <w:p w:rsidR="007E4D1D" w:rsidRPr="008711D7" w:rsidRDefault="007E4D1D" w:rsidP="00B475F5"/>
    <w:p w:rsidR="007E4D1D" w:rsidRPr="008711D7" w:rsidRDefault="00B475F5" w:rsidP="00B475F5">
      <w:pPr>
        <w:tabs>
          <w:tab w:val="center" w:pos="4680"/>
          <w:tab w:val="right" w:pos="9360"/>
        </w:tabs>
        <w:rPr>
          <w:szCs w:val="24"/>
        </w:rPr>
      </w:pPr>
      <w:r>
        <w:rPr>
          <w:szCs w:val="24"/>
        </w:rPr>
        <w:tab/>
      </w:r>
      <m:oMath>
        <m:r>
          <m:rPr>
            <m:sty m:val="p"/>
          </m:rPr>
          <w:rPr>
            <w:rFonts w:ascii="Cambria Math" w:hAnsi="Cambria Math"/>
            <w:szCs w:val="24"/>
          </w:rPr>
          <m:t xml:space="preserve">Bulk Specific Gravity (SSD)= </m:t>
        </m:r>
        <m:f>
          <m:fPr>
            <m:ctrlPr>
              <w:rPr>
                <w:rFonts w:ascii="Cambria Math" w:hAnsi="Cambria Math"/>
                <w:szCs w:val="24"/>
              </w:rPr>
            </m:ctrlPr>
          </m:fPr>
          <m:num>
            <m:r>
              <m:rPr>
                <m:sty m:val="p"/>
              </m:rPr>
              <w:rPr>
                <w:rFonts w:ascii="Cambria Math" w:hAnsi="Cambria Math"/>
                <w:szCs w:val="24"/>
              </w:rPr>
              <m:t>SSD Weight</m:t>
            </m:r>
          </m:num>
          <m:den>
            <m:d>
              <m:dPr>
                <m:ctrlPr>
                  <w:rPr>
                    <w:rFonts w:ascii="Cambria Math" w:hAnsi="Cambria Math"/>
                    <w:szCs w:val="24"/>
                  </w:rPr>
                </m:ctrlPr>
              </m:dPr>
              <m:e>
                <m:r>
                  <m:rPr>
                    <m:sty m:val="p"/>
                  </m:rPr>
                  <w:rPr>
                    <w:rFonts w:ascii="Cambria Math" w:hAnsi="Cambria Math"/>
                    <w:szCs w:val="24"/>
                  </w:rPr>
                  <m:t>Total Particle Volume</m:t>
                </m:r>
              </m:e>
            </m:d>
            <m:sSub>
              <m:sSubPr>
                <m:ctrlPr>
                  <w:rPr>
                    <w:rFonts w:ascii="Cambria Math" w:hAnsi="Cambria Math"/>
                    <w:szCs w:val="24"/>
                  </w:rPr>
                </m:ctrlPr>
              </m:sSubPr>
              <m:e>
                <m:r>
                  <m:rPr>
                    <m:sty m:val="p"/>
                  </m:rPr>
                  <w:rPr>
                    <w:rFonts w:ascii="Cambria Math" w:hAnsi="Cambria Math"/>
                    <w:szCs w:val="24"/>
                  </w:rPr>
                  <m:t>γ</m:t>
                </m:r>
              </m:e>
              <m:sub>
                <m:r>
                  <m:rPr>
                    <m:sty m:val="p"/>
                  </m:rPr>
                  <w:rPr>
                    <w:rFonts w:ascii="Cambria Math" w:hAnsi="Cambria Math"/>
                    <w:szCs w:val="24"/>
                  </w:rPr>
                  <m:t>w</m:t>
                </m:r>
              </m:sub>
            </m:sSub>
          </m:den>
        </m:f>
        <m:r>
          <m:rPr>
            <m:sty m:val="p"/>
          </m:rPr>
          <w:rPr>
            <w:rFonts w:ascii="Cambria Math" w:hAnsi="Cambria Math"/>
            <w:szCs w:val="24"/>
          </w:rPr>
          <m:t>=</m:t>
        </m:r>
        <m:f>
          <m:fPr>
            <m:ctrlPr>
              <w:rPr>
                <w:rFonts w:ascii="Cambria Math" w:hAnsi="Cambria Math"/>
                <w:szCs w:val="24"/>
              </w:rPr>
            </m:ctrlPr>
          </m:fPr>
          <m:num>
            <m:sSub>
              <m:sSubPr>
                <m:ctrlPr>
                  <w:rPr>
                    <w:rFonts w:ascii="Cambria Math" w:hAnsi="Cambria Math"/>
                    <w:szCs w:val="24"/>
                  </w:rPr>
                </m:ctrlPr>
              </m:sSubPr>
              <m:e>
                <m:r>
                  <m:rPr>
                    <m:sty m:val="p"/>
                  </m:rPr>
                  <w:rPr>
                    <w:rFonts w:ascii="Cambria Math" w:hAnsi="Cambria Math"/>
                    <w:szCs w:val="24"/>
                  </w:rPr>
                  <m:t>W</m:t>
                </m:r>
              </m:e>
              <m:sub>
                <m:r>
                  <m:rPr>
                    <m:sty m:val="p"/>
                  </m:rPr>
                  <w:rPr>
                    <w:rFonts w:ascii="Cambria Math" w:hAnsi="Cambria Math"/>
                    <w:szCs w:val="24"/>
                  </w:rPr>
                  <m:t>s</m:t>
                </m:r>
              </m:sub>
            </m:sSub>
            <m:r>
              <m:rPr>
                <m:sty m:val="p"/>
              </m:rPr>
              <w:rPr>
                <w:rFonts w:ascii="Cambria Math" w:hAnsi="Cambria Math"/>
                <w:szCs w:val="24"/>
              </w:rPr>
              <m:t>+</m:t>
            </m:r>
            <m:sSub>
              <m:sSubPr>
                <m:ctrlPr>
                  <w:rPr>
                    <w:rFonts w:ascii="Cambria Math" w:hAnsi="Cambria Math"/>
                    <w:szCs w:val="24"/>
                  </w:rPr>
                </m:ctrlPr>
              </m:sSubPr>
              <m:e>
                <m:r>
                  <m:rPr>
                    <m:sty m:val="p"/>
                  </m:rPr>
                  <w:rPr>
                    <w:rFonts w:ascii="Cambria Math" w:hAnsi="Cambria Math"/>
                    <w:szCs w:val="24"/>
                  </w:rPr>
                  <m:t>W</m:t>
                </m:r>
              </m:e>
              <m:sub>
                <m:r>
                  <m:rPr>
                    <m:sty m:val="p"/>
                  </m:rPr>
                  <w:rPr>
                    <w:rFonts w:ascii="Cambria Math" w:hAnsi="Cambria Math"/>
                    <w:szCs w:val="24"/>
                  </w:rPr>
                  <m:t>p</m:t>
                </m:r>
              </m:sub>
            </m:sSub>
          </m:num>
          <m:den>
            <m:d>
              <m:dPr>
                <m:ctrlPr>
                  <w:rPr>
                    <w:rFonts w:ascii="Cambria Math" w:hAnsi="Cambria Math"/>
                    <w:szCs w:val="24"/>
                  </w:rPr>
                </m:ctrlPr>
              </m:dPr>
              <m:e>
                <m:sSub>
                  <m:sSubPr>
                    <m:ctrlPr>
                      <w:rPr>
                        <w:rFonts w:ascii="Cambria Math" w:hAnsi="Cambria Math"/>
                        <w:szCs w:val="24"/>
                      </w:rPr>
                    </m:ctrlPr>
                  </m:sSubPr>
                  <m:e>
                    <m:r>
                      <m:rPr>
                        <m:sty m:val="p"/>
                      </m:rPr>
                      <w:rPr>
                        <w:rFonts w:ascii="Cambria Math" w:hAnsi="Cambria Math"/>
                        <w:szCs w:val="24"/>
                      </w:rPr>
                      <m:t>V</m:t>
                    </m:r>
                  </m:e>
                  <m:sub>
                    <m:r>
                      <m:rPr>
                        <m:sty m:val="p"/>
                      </m:rPr>
                      <w:rPr>
                        <w:rFonts w:ascii="Cambria Math" w:hAnsi="Cambria Math"/>
                        <w:szCs w:val="24"/>
                      </w:rPr>
                      <m:t>s</m:t>
                    </m:r>
                  </m:sub>
                </m:sSub>
                <m:r>
                  <m:rPr>
                    <m:sty m:val="p"/>
                  </m:rPr>
                  <w:rPr>
                    <w:rFonts w:ascii="Cambria Math" w:hAnsi="Cambria Math"/>
                    <w:szCs w:val="24"/>
                  </w:rPr>
                  <m:t>+</m:t>
                </m:r>
                <m:sSub>
                  <m:sSubPr>
                    <m:ctrlPr>
                      <w:rPr>
                        <w:rFonts w:ascii="Cambria Math" w:hAnsi="Cambria Math"/>
                        <w:szCs w:val="24"/>
                      </w:rPr>
                    </m:ctrlPr>
                  </m:sSubPr>
                  <m:e>
                    <m:r>
                      <m:rPr>
                        <m:sty m:val="p"/>
                      </m:rPr>
                      <w:rPr>
                        <w:rFonts w:ascii="Cambria Math" w:hAnsi="Cambria Math"/>
                        <w:szCs w:val="24"/>
                      </w:rPr>
                      <m:t>V</m:t>
                    </m:r>
                  </m:e>
                  <m:sub>
                    <m:r>
                      <m:rPr>
                        <m:sty m:val="p"/>
                      </m:rPr>
                      <w:rPr>
                        <w:rFonts w:ascii="Cambria Math" w:hAnsi="Cambria Math"/>
                        <w:szCs w:val="24"/>
                      </w:rPr>
                      <m:t>i</m:t>
                    </m:r>
                  </m:sub>
                </m:sSub>
                <m:r>
                  <m:rPr>
                    <m:sty m:val="p"/>
                  </m:rPr>
                  <w:rPr>
                    <w:rFonts w:ascii="Cambria Math" w:hAnsi="Cambria Math"/>
                    <w:szCs w:val="24"/>
                  </w:rPr>
                  <m:t>+</m:t>
                </m:r>
                <m:sSub>
                  <m:sSubPr>
                    <m:ctrlPr>
                      <w:rPr>
                        <w:rFonts w:ascii="Cambria Math" w:hAnsi="Cambria Math"/>
                        <w:szCs w:val="24"/>
                      </w:rPr>
                    </m:ctrlPr>
                  </m:sSubPr>
                  <m:e>
                    <m:r>
                      <m:rPr>
                        <m:sty m:val="p"/>
                      </m:rPr>
                      <w:rPr>
                        <w:rFonts w:ascii="Cambria Math" w:hAnsi="Cambria Math"/>
                        <w:szCs w:val="24"/>
                      </w:rPr>
                      <m:t>V</m:t>
                    </m:r>
                  </m:e>
                  <m:sub>
                    <m:r>
                      <m:rPr>
                        <m:sty m:val="p"/>
                      </m:rPr>
                      <w:rPr>
                        <w:rFonts w:ascii="Cambria Math" w:hAnsi="Cambria Math"/>
                        <w:szCs w:val="24"/>
                      </w:rPr>
                      <m:t>p</m:t>
                    </m:r>
                  </m:sub>
                </m:sSub>
              </m:e>
            </m:d>
            <m:sSub>
              <m:sSubPr>
                <m:ctrlPr>
                  <w:rPr>
                    <w:rFonts w:ascii="Cambria Math" w:hAnsi="Cambria Math"/>
                    <w:szCs w:val="24"/>
                  </w:rPr>
                </m:ctrlPr>
              </m:sSubPr>
              <m:e>
                <m:r>
                  <m:rPr>
                    <m:sty m:val="p"/>
                  </m:rPr>
                  <w:rPr>
                    <w:rFonts w:ascii="Cambria Math" w:hAnsi="Cambria Math"/>
                    <w:szCs w:val="24"/>
                  </w:rPr>
                  <m:t>γ</m:t>
                </m:r>
              </m:e>
              <m:sub>
                <m:r>
                  <m:rPr>
                    <m:sty m:val="p"/>
                  </m:rPr>
                  <w:rPr>
                    <w:rFonts w:ascii="Cambria Math" w:hAnsi="Cambria Math"/>
                    <w:szCs w:val="24"/>
                  </w:rPr>
                  <m:t>w</m:t>
                </m:r>
              </m:sub>
            </m:sSub>
          </m:den>
        </m:f>
      </m:oMath>
      <w:r w:rsidRPr="008711D7">
        <w:rPr>
          <w:szCs w:val="24"/>
        </w:rPr>
        <w:tab/>
        <w:t>(</w:t>
      </w:r>
      <w:r w:rsidR="00402C07" w:rsidRPr="008711D7">
        <w:rPr>
          <w:szCs w:val="24"/>
        </w:rPr>
        <w:t>3-</w:t>
      </w:r>
      <w:r w:rsidRPr="008711D7">
        <w:rPr>
          <w:szCs w:val="24"/>
        </w:rPr>
        <w:t>1</w:t>
      </w:r>
      <w:r w:rsidR="008711D7">
        <w:rPr>
          <w:szCs w:val="24"/>
        </w:rPr>
        <w:t>0</w:t>
      </w:r>
      <w:r w:rsidRPr="008711D7">
        <w:rPr>
          <w:szCs w:val="24"/>
        </w:rPr>
        <w:t>)</w:t>
      </w:r>
    </w:p>
    <w:p w:rsidR="007E4D1D" w:rsidRPr="008711D7" w:rsidRDefault="007E4D1D" w:rsidP="00B475F5"/>
    <w:p w:rsidR="007E4D1D" w:rsidRPr="008711D7" w:rsidRDefault="00B475F5" w:rsidP="00B475F5">
      <w:pPr>
        <w:tabs>
          <w:tab w:val="center" w:pos="4680"/>
          <w:tab w:val="right" w:pos="9360"/>
        </w:tabs>
        <w:adjustRightInd w:val="0"/>
        <w:rPr>
          <w:spacing w:val="-2"/>
        </w:rPr>
      </w:pPr>
      <w:r w:rsidRPr="008711D7">
        <w:rPr>
          <w:szCs w:val="24"/>
        </w:rPr>
        <w:tab/>
      </w:r>
      <m:oMath>
        <m:r>
          <m:rPr>
            <m:sty m:val="p"/>
          </m:rPr>
          <w:rPr>
            <w:rFonts w:ascii="Cambria Math" w:hAnsi="Cambria Math"/>
            <w:szCs w:val="24"/>
          </w:rPr>
          <m:t xml:space="preserve">Apparent Specific Gravity= </m:t>
        </m:r>
        <m:f>
          <m:fPr>
            <m:ctrlPr>
              <w:rPr>
                <w:rFonts w:ascii="Cambria Math" w:hAnsi="Cambria Math"/>
                <w:szCs w:val="24"/>
              </w:rPr>
            </m:ctrlPr>
          </m:fPr>
          <m:num>
            <m:r>
              <m:rPr>
                <m:sty m:val="p"/>
              </m:rPr>
              <w:rPr>
                <w:rFonts w:ascii="Cambria Math" w:hAnsi="Cambria Math"/>
                <w:szCs w:val="24"/>
              </w:rPr>
              <m:t>Dry Weight</m:t>
            </m:r>
          </m:num>
          <m:den>
            <m:d>
              <m:dPr>
                <m:ctrlPr>
                  <w:rPr>
                    <w:rFonts w:ascii="Cambria Math" w:hAnsi="Cambria Math"/>
                    <w:szCs w:val="24"/>
                  </w:rPr>
                </m:ctrlPr>
              </m:dPr>
              <m:e>
                <m:r>
                  <m:rPr>
                    <m:sty m:val="p"/>
                  </m:rPr>
                  <w:rPr>
                    <w:rFonts w:ascii="Cambria Math" w:hAnsi="Cambria Math"/>
                    <w:szCs w:val="24"/>
                  </w:rPr>
                  <m:t>Volume Not Accessible To Water</m:t>
                </m:r>
              </m:e>
            </m:d>
            <m:sSub>
              <m:sSubPr>
                <m:ctrlPr>
                  <w:rPr>
                    <w:rFonts w:ascii="Cambria Math" w:hAnsi="Cambria Math"/>
                    <w:szCs w:val="24"/>
                  </w:rPr>
                </m:ctrlPr>
              </m:sSubPr>
              <m:e>
                <m:r>
                  <m:rPr>
                    <m:sty m:val="p"/>
                  </m:rPr>
                  <w:rPr>
                    <w:rFonts w:ascii="Cambria Math" w:hAnsi="Cambria Math"/>
                    <w:szCs w:val="24"/>
                  </w:rPr>
                  <m:t>γ</m:t>
                </m:r>
              </m:e>
              <m:sub>
                <m:r>
                  <m:rPr>
                    <m:sty m:val="p"/>
                  </m:rPr>
                  <w:rPr>
                    <w:rFonts w:ascii="Cambria Math" w:hAnsi="Cambria Math"/>
                    <w:szCs w:val="24"/>
                  </w:rPr>
                  <m:t>w</m:t>
                </m:r>
              </m:sub>
            </m:sSub>
          </m:den>
        </m:f>
        <m:r>
          <m:rPr>
            <m:sty m:val="p"/>
          </m:rPr>
          <w:rPr>
            <w:rFonts w:ascii="Cambria Math" w:hAnsi="Cambria Math"/>
            <w:spacing w:val="-2"/>
          </w:rPr>
          <m:t>=</m:t>
        </m:r>
        <m:f>
          <m:fPr>
            <m:ctrlPr>
              <w:rPr>
                <w:rFonts w:ascii="Cambria Math" w:hAnsi="Cambria Math"/>
                <w:spacing w:val="-2"/>
              </w:rPr>
            </m:ctrlPr>
          </m:fPr>
          <m:num>
            <m:sSub>
              <m:sSubPr>
                <m:ctrlPr>
                  <w:rPr>
                    <w:rFonts w:ascii="Cambria Math" w:hAnsi="Cambria Math"/>
                    <w:spacing w:val="-2"/>
                  </w:rPr>
                </m:ctrlPr>
              </m:sSubPr>
              <m:e>
                <m:r>
                  <m:rPr>
                    <m:sty m:val="p"/>
                  </m:rPr>
                  <w:rPr>
                    <w:rFonts w:ascii="Cambria Math" w:hAnsi="Cambria Math"/>
                    <w:spacing w:val="-2"/>
                  </w:rPr>
                  <m:t>W</m:t>
                </m:r>
              </m:e>
              <m:sub>
                <m:r>
                  <m:rPr>
                    <m:sty m:val="p"/>
                  </m:rPr>
                  <w:rPr>
                    <w:rFonts w:ascii="Cambria Math" w:hAnsi="Cambria Math"/>
                    <w:spacing w:val="-2"/>
                  </w:rPr>
                  <m:t>s</m:t>
                </m:r>
              </m:sub>
            </m:sSub>
          </m:num>
          <m:den>
            <m:d>
              <m:dPr>
                <m:ctrlPr>
                  <w:rPr>
                    <w:rFonts w:ascii="Cambria Math" w:hAnsi="Cambria Math"/>
                    <w:spacing w:val="-2"/>
                  </w:rPr>
                </m:ctrlPr>
              </m:dPr>
              <m:e>
                <m:sSub>
                  <m:sSubPr>
                    <m:ctrlPr>
                      <w:rPr>
                        <w:rFonts w:ascii="Cambria Math" w:hAnsi="Cambria Math"/>
                        <w:spacing w:val="-2"/>
                      </w:rPr>
                    </m:ctrlPr>
                  </m:sSubPr>
                  <m:e>
                    <m:r>
                      <m:rPr>
                        <m:sty m:val="p"/>
                      </m:rPr>
                      <w:rPr>
                        <w:rFonts w:ascii="Cambria Math" w:hAnsi="Cambria Math"/>
                        <w:spacing w:val="-2"/>
                      </w:rPr>
                      <m:t>V</m:t>
                    </m:r>
                  </m:e>
                  <m:sub>
                    <m:r>
                      <m:rPr>
                        <m:sty m:val="p"/>
                      </m:rPr>
                      <w:rPr>
                        <w:rFonts w:ascii="Cambria Math" w:hAnsi="Cambria Math"/>
                        <w:spacing w:val="-2"/>
                      </w:rPr>
                      <m:t>s</m:t>
                    </m:r>
                  </m:sub>
                </m:sSub>
                <m:r>
                  <m:rPr>
                    <m:sty m:val="p"/>
                  </m:rPr>
                  <w:rPr>
                    <w:rFonts w:ascii="Cambria Math" w:hAnsi="Cambria Math"/>
                    <w:spacing w:val="-2"/>
                  </w:rPr>
                  <m:t>+</m:t>
                </m:r>
                <m:sSub>
                  <m:sSubPr>
                    <m:ctrlPr>
                      <w:rPr>
                        <w:rFonts w:ascii="Cambria Math" w:hAnsi="Cambria Math"/>
                        <w:spacing w:val="-2"/>
                      </w:rPr>
                    </m:ctrlPr>
                  </m:sSubPr>
                  <m:e>
                    <m:r>
                      <m:rPr>
                        <m:sty m:val="p"/>
                      </m:rPr>
                      <w:rPr>
                        <w:rFonts w:ascii="Cambria Math" w:hAnsi="Cambria Math"/>
                        <w:spacing w:val="-2"/>
                      </w:rPr>
                      <m:t>V</m:t>
                    </m:r>
                  </m:e>
                  <m:sub>
                    <m:r>
                      <m:rPr>
                        <m:sty m:val="p"/>
                      </m:rPr>
                      <w:rPr>
                        <w:rFonts w:ascii="Cambria Math" w:hAnsi="Cambria Math"/>
                        <w:spacing w:val="-2"/>
                      </w:rPr>
                      <m:t>i</m:t>
                    </m:r>
                  </m:sub>
                </m:sSub>
              </m:e>
            </m:d>
            <m:sSub>
              <m:sSubPr>
                <m:ctrlPr>
                  <w:rPr>
                    <w:rFonts w:ascii="Cambria Math" w:hAnsi="Cambria Math"/>
                    <w:spacing w:val="-2"/>
                  </w:rPr>
                </m:ctrlPr>
              </m:sSubPr>
              <m:e>
                <m:r>
                  <m:rPr>
                    <m:sty m:val="p"/>
                  </m:rPr>
                  <w:rPr>
                    <w:rFonts w:ascii="Cambria Math" w:hAnsi="Cambria Math"/>
                    <w:spacing w:val="-2"/>
                  </w:rPr>
                  <m:t>γ</m:t>
                </m:r>
              </m:e>
              <m:sub>
                <m:r>
                  <m:rPr>
                    <m:sty m:val="p"/>
                  </m:rPr>
                  <w:rPr>
                    <w:rFonts w:ascii="Cambria Math" w:hAnsi="Cambria Math"/>
                    <w:spacing w:val="-2"/>
                  </w:rPr>
                  <m:t>w</m:t>
                </m:r>
              </m:sub>
            </m:sSub>
          </m:den>
        </m:f>
      </m:oMath>
      <w:r w:rsidRPr="008711D7">
        <w:rPr>
          <w:spacing w:val="-2"/>
        </w:rPr>
        <w:tab/>
        <w:t>(</w:t>
      </w:r>
      <w:r w:rsidR="00402C07" w:rsidRPr="008711D7">
        <w:rPr>
          <w:szCs w:val="24"/>
        </w:rPr>
        <w:t>3-</w:t>
      </w:r>
      <w:r w:rsidRPr="008711D7">
        <w:rPr>
          <w:spacing w:val="-2"/>
        </w:rPr>
        <w:t>1</w:t>
      </w:r>
      <w:r w:rsidR="008711D7">
        <w:rPr>
          <w:spacing w:val="-2"/>
        </w:rPr>
        <w:t>1</w:t>
      </w:r>
      <w:r w:rsidRPr="008711D7">
        <w:rPr>
          <w:spacing w:val="-2"/>
        </w:rPr>
        <w:t>)</w:t>
      </w:r>
    </w:p>
    <w:p w:rsidR="007E4D1D" w:rsidRDefault="007E4D1D" w:rsidP="00B475F5"/>
    <w:p w:rsidR="007E4D1D" w:rsidRPr="00B475F5" w:rsidRDefault="001E31DB" w:rsidP="00B475F5">
      <w:pPr>
        <w:spacing w:before="120" w:after="120"/>
        <w:rPr>
          <w:szCs w:val="24"/>
        </w:rPr>
      </w:pPr>
      <w:r w:rsidRPr="00B475F5">
        <w:rPr>
          <w:szCs w:val="24"/>
        </w:rPr>
        <w:t>where:</w:t>
      </w:r>
    </w:p>
    <w:p w:rsidR="007E4D1D" w:rsidRPr="00B475F5" w:rsidRDefault="007E4D1D" w:rsidP="00B475F5">
      <w:pPr>
        <w:tabs>
          <w:tab w:val="right" w:pos="1080"/>
          <w:tab w:val="left" w:pos="1440"/>
          <w:tab w:val="left" w:pos="1800"/>
        </w:tabs>
        <w:ind w:left="1800" w:hanging="1800"/>
        <w:rPr>
          <w:i/>
          <w:szCs w:val="24"/>
        </w:rPr>
      </w:pPr>
      <w:r w:rsidRPr="00B475F5">
        <w:rPr>
          <w:i/>
          <w:szCs w:val="24"/>
        </w:rPr>
        <w:tab/>
        <w:t>γ</w:t>
      </w:r>
      <w:r w:rsidRPr="00B475F5">
        <w:rPr>
          <w:i/>
          <w:szCs w:val="24"/>
          <w:vertAlign w:val="subscript"/>
        </w:rPr>
        <w:t>w</w:t>
      </w:r>
      <w:r w:rsidR="00B475F5">
        <w:rPr>
          <w:szCs w:val="24"/>
        </w:rPr>
        <w:tab/>
        <w:t>=</w:t>
      </w:r>
      <w:r w:rsidR="00B475F5">
        <w:rPr>
          <w:szCs w:val="24"/>
        </w:rPr>
        <w:tab/>
        <w:t>U</w:t>
      </w:r>
      <w:r w:rsidRPr="00B475F5">
        <w:rPr>
          <w:szCs w:val="24"/>
        </w:rPr>
        <w:t>nit weight of water, 62.27 lb/ft</w:t>
      </w:r>
      <w:r w:rsidRPr="00B475F5">
        <w:rPr>
          <w:szCs w:val="24"/>
          <w:vertAlign w:val="superscript"/>
        </w:rPr>
        <w:t>3</w:t>
      </w:r>
      <w:r w:rsidRPr="00B475F5">
        <w:rPr>
          <w:szCs w:val="24"/>
        </w:rPr>
        <w:t xml:space="preserve"> at 73.4</w:t>
      </w:r>
      <w:r w:rsidR="00B475F5">
        <w:rPr>
          <w:szCs w:val="24"/>
        </w:rPr>
        <w:t>°</w:t>
      </w:r>
      <w:r w:rsidRPr="00B475F5">
        <w:rPr>
          <w:szCs w:val="24"/>
        </w:rPr>
        <w:t>F</w:t>
      </w:r>
    </w:p>
    <w:p w:rsidR="007E4D1D" w:rsidRPr="00B475F5" w:rsidRDefault="007E4D1D" w:rsidP="00B475F5">
      <w:pPr>
        <w:tabs>
          <w:tab w:val="right" w:pos="1080"/>
          <w:tab w:val="left" w:pos="1440"/>
          <w:tab w:val="left" w:pos="1800"/>
        </w:tabs>
        <w:ind w:left="1800" w:hanging="1800"/>
        <w:rPr>
          <w:i/>
          <w:szCs w:val="24"/>
        </w:rPr>
      </w:pPr>
      <w:r w:rsidRPr="00B475F5">
        <w:rPr>
          <w:i/>
          <w:szCs w:val="24"/>
        </w:rPr>
        <w:tab/>
        <w:t>W</w:t>
      </w:r>
      <w:r w:rsidRPr="00B475F5">
        <w:rPr>
          <w:i/>
          <w:szCs w:val="24"/>
          <w:vertAlign w:val="subscript"/>
        </w:rPr>
        <w:t>s</w:t>
      </w:r>
      <w:r w:rsidR="00B475F5">
        <w:rPr>
          <w:i/>
          <w:szCs w:val="24"/>
        </w:rPr>
        <w:tab/>
        <w:t>=</w:t>
      </w:r>
      <w:r w:rsidR="00B475F5">
        <w:rPr>
          <w:i/>
          <w:szCs w:val="24"/>
        </w:rPr>
        <w:tab/>
      </w:r>
      <w:r w:rsidR="00B475F5">
        <w:rPr>
          <w:szCs w:val="24"/>
        </w:rPr>
        <w:t>W</w:t>
      </w:r>
      <w:r w:rsidRPr="00B475F5">
        <w:rPr>
          <w:szCs w:val="24"/>
        </w:rPr>
        <w:t>eight of solids</w:t>
      </w:r>
      <w:r w:rsidR="00DF35C4">
        <w:rPr>
          <w:szCs w:val="24"/>
        </w:rPr>
        <w:t>, lb</w:t>
      </w:r>
    </w:p>
    <w:p w:rsidR="007E4D1D" w:rsidRPr="00B475F5" w:rsidRDefault="007E4D1D" w:rsidP="00B475F5">
      <w:pPr>
        <w:tabs>
          <w:tab w:val="right" w:pos="1080"/>
          <w:tab w:val="left" w:pos="1440"/>
          <w:tab w:val="left" w:pos="1800"/>
        </w:tabs>
        <w:ind w:left="1800" w:hanging="1800"/>
        <w:rPr>
          <w:szCs w:val="24"/>
        </w:rPr>
      </w:pPr>
      <w:r w:rsidRPr="00B475F5">
        <w:rPr>
          <w:i/>
          <w:szCs w:val="24"/>
        </w:rPr>
        <w:tab/>
        <w:t>W</w:t>
      </w:r>
      <w:r w:rsidRPr="00B475F5">
        <w:rPr>
          <w:i/>
          <w:szCs w:val="24"/>
          <w:vertAlign w:val="subscript"/>
        </w:rPr>
        <w:t>p</w:t>
      </w:r>
      <w:r w:rsidR="00B475F5">
        <w:rPr>
          <w:i/>
          <w:szCs w:val="24"/>
        </w:rPr>
        <w:tab/>
        <w:t>=</w:t>
      </w:r>
      <w:r w:rsidR="00B475F5">
        <w:rPr>
          <w:i/>
          <w:szCs w:val="24"/>
        </w:rPr>
        <w:tab/>
      </w:r>
      <w:r w:rsidR="00B475F5">
        <w:rPr>
          <w:szCs w:val="24"/>
        </w:rPr>
        <w:t>We</w:t>
      </w:r>
      <w:r w:rsidRPr="00B475F5">
        <w:rPr>
          <w:szCs w:val="24"/>
        </w:rPr>
        <w:t>ight of water in permeable voids</w:t>
      </w:r>
      <w:r w:rsidR="00DF35C4">
        <w:rPr>
          <w:szCs w:val="24"/>
        </w:rPr>
        <w:t>, lb</w:t>
      </w:r>
    </w:p>
    <w:p w:rsidR="007E4D1D" w:rsidRPr="00B475F5" w:rsidRDefault="007E4D1D" w:rsidP="00B475F5">
      <w:pPr>
        <w:tabs>
          <w:tab w:val="right" w:pos="1080"/>
          <w:tab w:val="left" w:pos="1440"/>
          <w:tab w:val="left" w:pos="1800"/>
        </w:tabs>
        <w:ind w:left="1800" w:hanging="1800"/>
        <w:rPr>
          <w:szCs w:val="24"/>
        </w:rPr>
      </w:pPr>
      <w:r w:rsidRPr="00B475F5">
        <w:rPr>
          <w:i/>
          <w:szCs w:val="24"/>
        </w:rPr>
        <w:tab/>
        <w:t>V</w:t>
      </w:r>
      <w:r w:rsidRPr="00B475F5">
        <w:rPr>
          <w:i/>
          <w:szCs w:val="24"/>
          <w:vertAlign w:val="subscript"/>
        </w:rPr>
        <w:t>s</w:t>
      </w:r>
      <w:r w:rsidR="00B475F5">
        <w:rPr>
          <w:szCs w:val="24"/>
        </w:rPr>
        <w:tab/>
        <w:t>=</w:t>
      </w:r>
      <w:r w:rsidR="00B475F5">
        <w:rPr>
          <w:szCs w:val="24"/>
        </w:rPr>
        <w:tab/>
        <w:t>V</w:t>
      </w:r>
      <w:r w:rsidRPr="00B475F5">
        <w:rPr>
          <w:szCs w:val="24"/>
        </w:rPr>
        <w:t>olume of solids</w:t>
      </w:r>
      <w:r w:rsidR="00B475F5">
        <w:rPr>
          <w:szCs w:val="24"/>
        </w:rPr>
        <w:t>, ft</w:t>
      </w:r>
      <w:r w:rsidR="00B475F5" w:rsidRPr="00B475F5">
        <w:rPr>
          <w:szCs w:val="24"/>
          <w:vertAlign w:val="superscript"/>
        </w:rPr>
        <w:t>3</w:t>
      </w:r>
    </w:p>
    <w:p w:rsidR="007E4D1D" w:rsidRPr="00B475F5" w:rsidRDefault="007E4D1D" w:rsidP="00B475F5">
      <w:pPr>
        <w:tabs>
          <w:tab w:val="right" w:pos="1080"/>
          <w:tab w:val="left" w:pos="1440"/>
          <w:tab w:val="left" w:pos="1800"/>
        </w:tabs>
        <w:ind w:left="1800" w:hanging="1800"/>
        <w:rPr>
          <w:szCs w:val="24"/>
        </w:rPr>
      </w:pPr>
      <w:r w:rsidRPr="00B475F5">
        <w:rPr>
          <w:i/>
          <w:szCs w:val="24"/>
        </w:rPr>
        <w:tab/>
        <w:t>V</w:t>
      </w:r>
      <w:r w:rsidRPr="00B475F5">
        <w:rPr>
          <w:i/>
          <w:szCs w:val="24"/>
          <w:vertAlign w:val="subscript"/>
        </w:rPr>
        <w:t>i</w:t>
      </w:r>
      <w:r w:rsidRPr="00B475F5">
        <w:rPr>
          <w:i/>
          <w:szCs w:val="24"/>
        </w:rPr>
        <w:t xml:space="preserve"> </w:t>
      </w:r>
      <w:r w:rsidR="00B475F5">
        <w:rPr>
          <w:szCs w:val="24"/>
        </w:rPr>
        <w:tab/>
        <w:t>=</w:t>
      </w:r>
      <w:r w:rsidR="00B475F5">
        <w:rPr>
          <w:szCs w:val="24"/>
        </w:rPr>
        <w:tab/>
        <w:t>V</w:t>
      </w:r>
      <w:r w:rsidRPr="00B475F5">
        <w:rPr>
          <w:szCs w:val="24"/>
        </w:rPr>
        <w:t>olume of impermeable voids</w:t>
      </w:r>
      <w:r w:rsidR="00B475F5">
        <w:rPr>
          <w:szCs w:val="24"/>
        </w:rPr>
        <w:t>, ft</w:t>
      </w:r>
      <w:r w:rsidR="00B475F5" w:rsidRPr="00B475F5">
        <w:rPr>
          <w:szCs w:val="24"/>
          <w:vertAlign w:val="superscript"/>
        </w:rPr>
        <w:t>3</w:t>
      </w:r>
    </w:p>
    <w:p w:rsidR="007E4D1D" w:rsidRPr="00B475F5" w:rsidRDefault="007E4D1D" w:rsidP="00B475F5">
      <w:pPr>
        <w:tabs>
          <w:tab w:val="right" w:pos="1080"/>
          <w:tab w:val="left" w:pos="1440"/>
          <w:tab w:val="left" w:pos="1800"/>
        </w:tabs>
        <w:ind w:left="1800" w:hanging="1800"/>
        <w:rPr>
          <w:szCs w:val="24"/>
        </w:rPr>
      </w:pPr>
      <w:r w:rsidRPr="00B475F5">
        <w:rPr>
          <w:i/>
          <w:szCs w:val="24"/>
        </w:rPr>
        <w:tab/>
        <w:t>V</w:t>
      </w:r>
      <w:r w:rsidRPr="00B475F5">
        <w:rPr>
          <w:i/>
          <w:szCs w:val="24"/>
          <w:vertAlign w:val="subscript"/>
        </w:rPr>
        <w:t>p</w:t>
      </w:r>
      <w:r w:rsidR="00B475F5">
        <w:rPr>
          <w:i/>
          <w:szCs w:val="24"/>
        </w:rPr>
        <w:tab/>
        <w:t>=</w:t>
      </w:r>
      <w:r w:rsidR="00B475F5">
        <w:rPr>
          <w:i/>
          <w:szCs w:val="24"/>
        </w:rPr>
        <w:tab/>
      </w:r>
      <w:r w:rsidR="00B475F5" w:rsidRPr="00B475F5">
        <w:rPr>
          <w:szCs w:val="24"/>
        </w:rPr>
        <w:t>V</w:t>
      </w:r>
      <w:r w:rsidRPr="00B475F5">
        <w:rPr>
          <w:szCs w:val="24"/>
        </w:rPr>
        <w:t>olume of permeable voids</w:t>
      </w:r>
      <w:r w:rsidR="00B475F5">
        <w:rPr>
          <w:szCs w:val="24"/>
        </w:rPr>
        <w:t>, ft</w:t>
      </w:r>
      <w:r w:rsidR="00B475F5" w:rsidRPr="00B475F5">
        <w:rPr>
          <w:szCs w:val="24"/>
          <w:vertAlign w:val="superscript"/>
        </w:rPr>
        <w:t>3</w:t>
      </w:r>
    </w:p>
    <w:p w:rsidR="007E4D1D" w:rsidRPr="00EC1873" w:rsidRDefault="007E4D1D" w:rsidP="00B475F5"/>
    <w:p w:rsidR="007E4D1D" w:rsidRDefault="007E4D1D" w:rsidP="00B475F5">
      <w:r>
        <w:t>In addition, the effective specific gravity is needed for asphalt mixture design, as it accounts for the penetration of asphalt binder into the aggregate making sure sufficient binder is present to effectively coat the aggregates.  It is defined as follows:</w:t>
      </w:r>
    </w:p>
    <w:p w:rsidR="00B475F5" w:rsidRDefault="00B475F5" w:rsidP="00B475F5"/>
    <w:p w:rsidR="007E4D1D" w:rsidRPr="00F97545" w:rsidRDefault="00F97545" w:rsidP="00F97545">
      <w:pPr>
        <w:tabs>
          <w:tab w:val="center" w:pos="4680"/>
          <w:tab w:val="right" w:pos="9360"/>
        </w:tabs>
        <w:rPr>
          <w:szCs w:val="24"/>
        </w:rPr>
      </w:pPr>
      <w:r>
        <w:rPr>
          <w:szCs w:val="24"/>
        </w:rPr>
        <w:tab/>
      </w:r>
      <m:oMath>
        <m:r>
          <m:rPr>
            <m:sty m:val="p"/>
          </m:rPr>
          <w:rPr>
            <w:rFonts w:ascii="Cambria Math" w:hAnsi="Cambria Math"/>
            <w:szCs w:val="24"/>
          </w:rPr>
          <m:t xml:space="preserve">Effective Specific Gravity= </m:t>
        </m:r>
        <m:f>
          <m:fPr>
            <m:ctrlPr>
              <w:rPr>
                <w:rFonts w:ascii="Cambria Math" w:hAnsi="Cambria Math"/>
                <w:szCs w:val="24"/>
              </w:rPr>
            </m:ctrlPr>
          </m:fPr>
          <m:num>
            <m:r>
              <m:rPr>
                <m:sty m:val="p"/>
              </m:rPr>
              <w:rPr>
                <w:rFonts w:ascii="Cambria Math" w:hAnsi="Cambria Math"/>
                <w:szCs w:val="24"/>
              </w:rPr>
              <m:t>Dry Weight</m:t>
            </m:r>
          </m:num>
          <m:den>
            <m:d>
              <m:dPr>
                <m:ctrlPr>
                  <w:rPr>
                    <w:rFonts w:ascii="Cambria Math" w:hAnsi="Cambria Math"/>
                    <w:szCs w:val="24"/>
                  </w:rPr>
                </m:ctrlPr>
              </m:dPr>
              <m:e>
                <m:r>
                  <m:rPr>
                    <m:sty m:val="p"/>
                  </m:rPr>
                  <w:rPr>
                    <w:rFonts w:ascii="Cambria Math" w:hAnsi="Cambria Math"/>
                    <w:szCs w:val="24"/>
                  </w:rPr>
                  <m:t>Volume Not Accessible To Binder</m:t>
                </m:r>
              </m:e>
            </m:d>
            <m:sSub>
              <m:sSubPr>
                <m:ctrlPr>
                  <w:rPr>
                    <w:rFonts w:ascii="Cambria Math" w:hAnsi="Cambria Math"/>
                    <w:szCs w:val="24"/>
                  </w:rPr>
                </m:ctrlPr>
              </m:sSubPr>
              <m:e>
                <m:r>
                  <m:rPr>
                    <m:sty m:val="p"/>
                  </m:rPr>
                  <w:rPr>
                    <w:rFonts w:ascii="Cambria Math" w:hAnsi="Cambria Math"/>
                    <w:szCs w:val="24"/>
                  </w:rPr>
                  <m:t>γ</m:t>
                </m:r>
              </m:e>
              <m:sub>
                <m:r>
                  <m:rPr>
                    <m:sty m:val="p"/>
                  </m:rPr>
                  <w:rPr>
                    <w:rFonts w:ascii="Cambria Math" w:hAnsi="Cambria Math"/>
                    <w:szCs w:val="24"/>
                  </w:rPr>
                  <m:t>w</m:t>
                </m:r>
              </m:sub>
            </m:sSub>
          </m:den>
        </m:f>
        <m:r>
          <m:rPr>
            <m:sty m:val="p"/>
          </m:rPr>
          <w:rPr>
            <w:rFonts w:ascii="Cambria Math" w:hAnsi="Cambria Math"/>
            <w:szCs w:val="24"/>
          </w:rPr>
          <m:t>=</m:t>
        </m:r>
        <m:f>
          <m:fPr>
            <m:ctrlPr>
              <w:rPr>
                <w:rFonts w:ascii="Cambria Math" w:hAnsi="Cambria Math"/>
                <w:szCs w:val="24"/>
              </w:rPr>
            </m:ctrlPr>
          </m:fPr>
          <m:num>
            <m:sSub>
              <m:sSubPr>
                <m:ctrlPr>
                  <w:rPr>
                    <w:rFonts w:ascii="Cambria Math" w:hAnsi="Cambria Math"/>
                    <w:szCs w:val="24"/>
                  </w:rPr>
                </m:ctrlPr>
              </m:sSubPr>
              <m:e>
                <m:r>
                  <m:rPr>
                    <m:sty m:val="p"/>
                  </m:rPr>
                  <w:rPr>
                    <w:rFonts w:ascii="Cambria Math" w:hAnsi="Cambria Math"/>
                    <w:szCs w:val="24"/>
                  </w:rPr>
                  <m:t>W</m:t>
                </m:r>
              </m:e>
              <m:sub>
                <m:r>
                  <m:rPr>
                    <m:sty m:val="p"/>
                  </m:rPr>
                  <w:rPr>
                    <w:rFonts w:ascii="Cambria Math" w:hAnsi="Cambria Math"/>
                    <w:szCs w:val="24"/>
                  </w:rPr>
                  <m:t>s</m:t>
                </m:r>
              </m:sub>
            </m:sSub>
          </m:num>
          <m:den>
            <m:d>
              <m:dPr>
                <m:ctrlPr>
                  <w:rPr>
                    <w:rFonts w:ascii="Cambria Math" w:hAnsi="Cambria Math"/>
                    <w:szCs w:val="24"/>
                  </w:rPr>
                </m:ctrlPr>
              </m:dPr>
              <m:e>
                <m:sSub>
                  <m:sSubPr>
                    <m:ctrlPr>
                      <w:rPr>
                        <w:rFonts w:ascii="Cambria Math" w:hAnsi="Cambria Math"/>
                        <w:szCs w:val="24"/>
                      </w:rPr>
                    </m:ctrlPr>
                  </m:sSubPr>
                  <m:e>
                    <m:r>
                      <m:rPr>
                        <m:sty m:val="p"/>
                      </m:rPr>
                      <w:rPr>
                        <w:rFonts w:ascii="Cambria Math" w:hAnsi="Cambria Math"/>
                        <w:szCs w:val="24"/>
                      </w:rPr>
                      <m:t>V</m:t>
                    </m:r>
                  </m:e>
                  <m:sub>
                    <m:r>
                      <m:rPr>
                        <m:sty m:val="p"/>
                      </m:rPr>
                      <w:rPr>
                        <w:rFonts w:ascii="Cambria Math" w:hAnsi="Cambria Math"/>
                        <w:szCs w:val="24"/>
                      </w:rPr>
                      <m:t>s</m:t>
                    </m:r>
                  </m:sub>
                </m:sSub>
                <m:r>
                  <m:rPr>
                    <m:sty m:val="p"/>
                  </m:rPr>
                  <w:rPr>
                    <w:rFonts w:ascii="Cambria Math" w:hAnsi="Cambria Math"/>
                    <w:szCs w:val="24"/>
                  </w:rPr>
                  <m:t>+</m:t>
                </m:r>
                <m:sSub>
                  <m:sSubPr>
                    <m:ctrlPr>
                      <w:rPr>
                        <w:rFonts w:ascii="Cambria Math" w:hAnsi="Cambria Math"/>
                        <w:szCs w:val="24"/>
                      </w:rPr>
                    </m:ctrlPr>
                  </m:sSubPr>
                  <m:e>
                    <m:r>
                      <m:rPr>
                        <m:sty m:val="p"/>
                      </m:rPr>
                      <w:rPr>
                        <w:rFonts w:ascii="Cambria Math" w:hAnsi="Cambria Math"/>
                        <w:szCs w:val="24"/>
                      </w:rPr>
                      <m:t>V</m:t>
                    </m:r>
                  </m:e>
                  <m:sub>
                    <m:r>
                      <m:rPr>
                        <m:sty m:val="p"/>
                      </m:rPr>
                      <w:rPr>
                        <w:rFonts w:ascii="Cambria Math" w:hAnsi="Cambria Math"/>
                        <w:szCs w:val="24"/>
                      </w:rPr>
                      <m:t>nf</m:t>
                    </m:r>
                  </m:sub>
                </m:sSub>
              </m:e>
            </m:d>
            <m:sSub>
              <m:sSubPr>
                <m:ctrlPr>
                  <w:rPr>
                    <w:rFonts w:ascii="Cambria Math" w:hAnsi="Cambria Math"/>
                    <w:szCs w:val="24"/>
                  </w:rPr>
                </m:ctrlPr>
              </m:sSubPr>
              <m:e>
                <m:r>
                  <m:rPr>
                    <m:sty m:val="p"/>
                  </m:rPr>
                  <w:rPr>
                    <w:rFonts w:ascii="Cambria Math" w:hAnsi="Cambria Math"/>
                    <w:szCs w:val="24"/>
                  </w:rPr>
                  <m:t>γ</m:t>
                </m:r>
              </m:e>
              <m:sub>
                <m:r>
                  <m:rPr>
                    <m:sty m:val="p"/>
                  </m:rPr>
                  <w:rPr>
                    <w:rFonts w:ascii="Cambria Math" w:hAnsi="Cambria Math"/>
                    <w:szCs w:val="24"/>
                  </w:rPr>
                  <m:t>w</m:t>
                </m:r>
              </m:sub>
            </m:sSub>
          </m:den>
        </m:f>
      </m:oMath>
      <w:r>
        <w:rPr>
          <w:szCs w:val="24"/>
        </w:rPr>
        <w:tab/>
        <w:t>(</w:t>
      </w:r>
      <w:r w:rsidR="00402C07">
        <w:rPr>
          <w:szCs w:val="24"/>
        </w:rPr>
        <w:t>3-</w:t>
      </w:r>
      <w:r>
        <w:rPr>
          <w:szCs w:val="24"/>
        </w:rPr>
        <w:t>12)</w:t>
      </w:r>
    </w:p>
    <w:p w:rsidR="007E4D1D" w:rsidRDefault="007E4D1D" w:rsidP="00F97545"/>
    <w:p w:rsidR="007E4D1D" w:rsidRPr="00F97545" w:rsidRDefault="001E31DB" w:rsidP="00F97545">
      <w:pPr>
        <w:spacing w:before="120" w:after="120"/>
        <w:rPr>
          <w:szCs w:val="24"/>
        </w:rPr>
      </w:pPr>
      <w:r w:rsidRPr="00F97545">
        <w:rPr>
          <w:szCs w:val="24"/>
        </w:rPr>
        <w:t>where:</w:t>
      </w:r>
    </w:p>
    <w:p w:rsidR="005433F3" w:rsidRPr="00B475F5" w:rsidRDefault="005433F3" w:rsidP="005433F3">
      <w:pPr>
        <w:tabs>
          <w:tab w:val="right" w:pos="1080"/>
          <w:tab w:val="left" w:pos="1440"/>
          <w:tab w:val="left" w:pos="1800"/>
        </w:tabs>
        <w:ind w:left="1800" w:hanging="1800"/>
        <w:rPr>
          <w:i/>
          <w:szCs w:val="24"/>
        </w:rPr>
      </w:pPr>
      <w:r w:rsidRPr="00B475F5">
        <w:rPr>
          <w:i/>
          <w:szCs w:val="24"/>
        </w:rPr>
        <w:tab/>
        <w:t>W</w:t>
      </w:r>
      <w:r w:rsidRPr="00B475F5">
        <w:rPr>
          <w:i/>
          <w:szCs w:val="24"/>
          <w:vertAlign w:val="subscript"/>
        </w:rPr>
        <w:t>s</w:t>
      </w:r>
      <w:r>
        <w:rPr>
          <w:i/>
          <w:szCs w:val="24"/>
        </w:rPr>
        <w:tab/>
        <w:t>=</w:t>
      </w:r>
      <w:r>
        <w:rPr>
          <w:i/>
          <w:szCs w:val="24"/>
        </w:rPr>
        <w:tab/>
      </w:r>
      <w:r>
        <w:rPr>
          <w:szCs w:val="24"/>
        </w:rPr>
        <w:t>W</w:t>
      </w:r>
      <w:r w:rsidRPr="00B475F5">
        <w:rPr>
          <w:szCs w:val="24"/>
        </w:rPr>
        <w:t>eight of solids</w:t>
      </w:r>
      <w:r w:rsidR="00DF35C4">
        <w:rPr>
          <w:szCs w:val="24"/>
        </w:rPr>
        <w:t>, lb</w:t>
      </w:r>
    </w:p>
    <w:p w:rsidR="005433F3" w:rsidRPr="00B475F5" w:rsidRDefault="005433F3" w:rsidP="005433F3">
      <w:pPr>
        <w:tabs>
          <w:tab w:val="right" w:pos="1080"/>
          <w:tab w:val="left" w:pos="1440"/>
          <w:tab w:val="left" w:pos="1800"/>
        </w:tabs>
        <w:ind w:left="1800" w:hanging="1800"/>
        <w:rPr>
          <w:szCs w:val="24"/>
        </w:rPr>
      </w:pPr>
      <w:r w:rsidRPr="00B475F5">
        <w:rPr>
          <w:i/>
          <w:szCs w:val="24"/>
        </w:rPr>
        <w:tab/>
        <w:t>V</w:t>
      </w:r>
      <w:r w:rsidRPr="00B475F5">
        <w:rPr>
          <w:i/>
          <w:szCs w:val="24"/>
          <w:vertAlign w:val="subscript"/>
        </w:rPr>
        <w:t>s</w:t>
      </w:r>
      <w:r>
        <w:rPr>
          <w:szCs w:val="24"/>
        </w:rPr>
        <w:tab/>
        <w:t>=</w:t>
      </w:r>
      <w:r>
        <w:rPr>
          <w:szCs w:val="24"/>
        </w:rPr>
        <w:tab/>
        <w:t>V</w:t>
      </w:r>
      <w:r w:rsidRPr="00B475F5">
        <w:rPr>
          <w:szCs w:val="24"/>
        </w:rPr>
        <w:t>olume of solids</w:t>
      </w:r>
      <w:r>
        <w:rPr>
          <w:szCs w:val="24"/>
        </w:rPr>
        <w:t>, ft</w:t>
      </w:r>
      <w:r w:rsidRPr="00B475F5">
        <w:rPr>
          <w:szCs w:val="24"/>
          <w:vertAlign w:val="superscript"/>
        </w:rPr>
        <w:t>3</w:t>
      </w:r>
    </w:p>
    <w:p w:rsidR="007E4D1D" w:rsidRDefault="007E4D1D" w:rsidP="00F97545">
      <w:pPr>
        <w:tabs>
          <w:tab w:val="right" w:pos="1080"/>
          <w:tab w:val="left" w:pos="1440"/>
          <w:tab w:val="left" w:pos="1800"/>
        </w:tabs>
        <w:ind w:left="1800" w:hanging="1800"/>
        <w:rPr>
          <w:szCs w:val="24"/>
        </w:rPr>
      </w:pPr>
      <w:r w:rsidRPr="00F97545">
        <w:rPr>
          <w:i/>
          <w:szCs w:val="24"/>
        </w:rPr>
        <w:tab/>
        <w:t>V</w:t>
      </w:r>
      <w:r w:rsidRPr="00F97545">
        <w:rPr>
          <w:i/>
          <w:szCs w:val="24"/>
          <w:vertAlign w:val="subscript"/>
        </w:rPr>
        <w:t>nf</w:t>
      </w:r>
      <w:r w:rsidR="00F97545">
        <w:rPr>
          <w:i/>
          <w:szCs w:val="24"/>
        </w:rPr>
        <w:tab/>
        <w:t>=</w:t>
      </w:r>
      <w:r w:rsidR="00F97545">
        <w:rPr>
          <w:i/>
          <w:szCs w:val="24"/>
        </w:rPr>
        <w:tab/>
      </w:r>
      <w:r w:rsidR="00F97545" w:rsidRPr="00F97545">
        <w:rPr>
          <w:szCs w:val="24"/>
        </w:rPr>
        <w:t>V</w:t>
      </w:r>
      <w:r w:rsidRPr="00F97545">
        <w:rPr>
          <w:szCs w:val="24"/>
        </w:rPr>
        <w:t>olume of voids not filled with binder</w:t>
      </w:r>
      <w:r w:rsidR="00F97545">
        <w:rPr>
          <w:szCs w:val="24"/>
        </w:rPr>
        <w:t>, ft</w:t>
      </w:r>
      <w:r w:rsidR="00F97545" w:rsidRPr="00F97545">
        <w:rPr>
          <w:szCs w:val="24"/>
          <w:vertAlign w:val="superscript"/>
        </w:rPr>
        <w:t>3</w:t>
      </w:r>
    </w:p>
    <w:p w:rsidR="005433F3" w:rsidRPr="00B475F5" w:rsidRDefault="005433F3" w:rsidP="005433F3">
      <w:pPr>
        <w:tabs>
          <w:tab w:val="right" w:pos="1080"/>
          <w:tab w:val="left" w:pos="1440"/>
          <w:tab w:val="left" w:pos="1800"/>
        </w:tabs>
        <w:ind w:left="1800" w:hanging="1800"/>
        <w:rPr>
          <w:i/>
          <w:szCs w:val="24"/>
        </w:rPr>
      </w:pPr>
      <w:r w:rsidRPr="00B475F5">
        <w:rPr>
          <w:i/>
          <w:szCs w:val="24"/>
        </w:rPr>
        <w:tab/>
        <w:t>γ</w:t>
      </w:r>
      <w:r w:rsidRPr="00B475F5">
        <w:rPr>
          <w:i/>
          <w:szCs w:val="24"/>
          <w:vertAlign w:val="subscript"/>
        </w:rPr>
        <w:t>w</w:t>
      </w:r>
      <w:r>
        <w:rPr>
          <w:szCs w:val="24"/>
        </w:rPr>
        <w:tab/>
        <w:t>=</w:t>
      </w:r>
      <w:r>
        <w:rPr>
          <w:szCs w:val="24"/>
        </w:rPr>
        <w:tab/>
        <w:t>U</w:t>
      </w:r>
      <w:r w:rsidRPr="00B475F5">
        <w:rPr>
          <w:szCs w:val="24"/>
        </w:rPr>
        <w:t>nit weight of water, 62.27 lb/ft</w:t>
      </w:r>
      <w:r w:rsidRPr="00B475F5">
        <w:rPr>
          <w:szCs w:val="24"/>
          <w:vertAlign w:val="superscript"/>
        </w:rPr>
        <w:t>3</w:t>
      </w:r>
      <w:r w:rsidRPr="00B475F5">
        <w:rPr>
          <w:szCs w:val="24"/>
        </w:rPr>
        <w:t xml:space="preserve"> at 73.4</w:t>
      </w:r>
      <w:r>
        <w:rPr>
          <w:szCs w:val="24"/>
        </w:rPr>
        <w:t>°</w:t>
      </w:r>
      <w:r w:rsidRPr="00B475F5">
        <w:rPr>
          <w:szCs w:val="24"/>
        </w:rPr>
        <w:t>F</w:t>
      </w:r>
    </w:p>
    <w:p w:rsidR="007E4D1D" w:rsidRPr="00F97545" w:rsidRDefault="007E4D1D" w:rsidP="00F97545"/>
    <w:p w:rsidR="007E4D1D" w:rsidRDefault="007E4D1D" w:rsidP="00F97545">
      <w:r>
        <w:t xml:space="preserve">The absorption of the fine and coarse aggregates is also calculated as part of AASHTO T 84 and </w:t>
      </w:r>
      <w:r w:rsidR="00D94BD8">
        <w:t xml:space="preserve">AASHTO </w:t>
      </w:r>
      <w:r>
        <w:t xml:space="preserve">T 85, respectively.  These are very important parameters when it comes to </w:t>
      </w:r>
      <w:r w:rsidR="00B55EC9">
        <w:t>concrete</w:t>
      </w:r>
      <w:r>
        <w:t xml:space="preserve"> </w:t>
      </w:r>
      <w:r w:rsidR="00A273A7">
        <w:t xml:space="preserve">and asphalt </w:t>
      </w:r>
      <w:r>
        <w:t xml:space="preserve">mix design and proportioning, as they </w:t>
      </w:r>
      <w:r w:rsidR="00625E62">
        <w:t>influence constructability as well as performance</w:t>
      </w:r>
      <w:r>
        <w:t>.</w:t>
      </w:r>
    </w:p>
    <w:p w:rsidR="007E4D1D" w:rsidRDefault="007E4D1D" w:rsidP="00F97545"/>
    <w:p w:rsidR="007E4D1D" w:rsidRDefault="007E4D1D" w:rsidP="00F97545">
      <w:pPr>
        <w:pStyle w:val="Heading4"/>
      </w:pPr>
      <w:bookmarkStart w:id="36" w:name="_Toc295918611"/>
      <w:r>
        <w:lastRenderedPageBreak/>
        <w:t xml:space="preserve">Particle </w:t>
      </w:r>
      <w:r w:rsidR="00DA24FA">
        <w:t>S</w:t>
      </w:r>
      <w:r>
        <w:t xml:space="preserve">hape and </w:t>
      </w:r>
      <w:r w:rsidR="00DA24FA">
        <w:t>T</w:t>
      </w:r>
      <w:r>
        <w:t>exture</w:t>
      </w:r>
      <w:bookmarkEnd w:id="36"/>
    </w:p>
    <w:p w:rsidR="007E4D1D" w:rsidRDefault="007E4D1D" w:rsidP="00F97545">
      <w:r>
        <w:t>Another important aggregate parameter is the shape of the particle, defined by its angularity</w:t>
      </w:r>
      <w:r w:rsidR="00F97545">
        <w:t xml:space="preserve"> (</w:t>
      </w:r>
      <w:r w:rsidR="00F3038B">
        <w:t>Figure</w:t>
      </w:r>
      <w:r w:rsidR="00AA7638">
        <w:t xml:space="preserve"> 3-8</w:t>
      </w:r>
      <w:r w:rsidR="00F97545">
        <w:t>)</w:t>
      </w:r>
      <w:r>
        <w:t xml:space="preserve"> and flakiness</w:t>
      </w:r>
      <w:r w:rsidR="00F97545">
        <w:t xml:space="preserve"> (</w:t>
      </w:r>
      <w:r w:rsidR="00F3038B">
        <w:t>Figure</w:t>
      </w:r>
      <w:r w:rsidR="00AA7638">
        <w:t xml:space="preserve"> 3-9</w:t>
      </w:r>
      <w:r w:rsidR="00F97545">
        <w:t>)</w:t>
      </w:r>
      <w:r>
        <w:t>.  In general, aggregates mined as sands and gravels from naturally deposited pits have rounded edges whereas those blasted from quarries and crushed are highly angular with sharp edges.  Whether rounded</w:t>
      </w:r>
      <w:r w:rsidR="00F97545">
        <w:t xml:space="preserve"> </w:t>
      </w:r>
      <w:r>
        <w:t>or angular, the flakiness of the aggregate is also important.  Flakiness is related to how flat and/or long the particle is, and can vary from source to source and if crushed, method of crushing.  Both angularity and flakiness are important, as the</w:t>
      </w:r>
      <w:r w:rsidR="00A273A7">
        <w:t>y</w:t>
      </w:r>
      <w:r>
        <w:t xml:space="preserve"> influence constructability </w:t>
      </w:r>
      <w:r w:rsidR="00AF71B8" w:rsidRPr="00AF71B8">
        <w:rPr>
          <w:color w:val="FF0000"/>
        </w:rPr>
        <w:t>as</w:t>
      </w:r>
      <w:r>
        <w:t xml:space="preserve"> well as performance of the constructed layer, and therefore test methods are establishe</w:t>
      </w:r>
      <w:r w:rsidR="00F97545">
        <w:t>d to measure both properties.</w:t>
      </w:r>
    </w:p>
    <w:p w:rsidR="00DE5DFC" w:rsidRDefault="00DE5DFC" w:rsidP="00F97545"/>
    <w:p w:rsidR="00032EB8" w:rsidRDefault="00032EB8" w:rsidP="00032EB8">
      <w:r>
        <w:t xml:space="preserve">Angularity of fine aggregate is most often specified for asphalt mixtures, as rounded sand particles can result in rutting under high traffic volumes.  AASHTO T 304, </w:t>
      </w:r>
      <w:r>
        <w:rPr>
          <w:i/>
        </w:rPr>
        <w:t>Standard Method of Test for Uncompacted Void Content of Fine Aggregate</w:t>
      </w:r>
      <w:r>
        <w:t xml:space="preserve"> is the most common test measure for estimating fine aggregate angularity.  AASHTO T 304 indirectly measures angularity and surface texture of the sand particles by measuring the weight of uncompacted sand that fills a cylinder of known volume with more highly angular sands having a higher void content.</w:t>
      </w:r>
    </w:p>
    <w:p w:rsidR="00032EB8" w:rsidRDefault="00032EB8" w:rsidP="00032EB8"/>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88"/>
        <w:gridCol w:w="3888"/>
      </w:tblGrid>
      <w:tr w:rsidR="00A217F5" w:rsidTr="007001C4">
        <w:trPr>
          <w:trHeight w:val="1008"/>
          <w:jc w:val="center"/>
        </w:trPr>
        <w:tc>
          <w:tcPr>
            <w:tcW w:w="3888" w:type="dxa"/>
            <w:vAlign w:val="bottom"/>
          </w:tcPr>
          <w:p w:rsidR="00A217F5" w:rsidRDefault="00A217F5" w:rsidP="007001C4">
            <w:pPr>
              <w:jc w:val="center"/>
            </w:pPr>
            <w:r w:rsidRPr="00A95CC1">
              <w:rPr>
                <w:noProof/>
              </w:rPr>
              <w:drawing>
                <wp:inline distT="0" distB="0" distL="0" distR="0">
                  <wp:extent cx="2061260" cy="1828800"/>
                  <wp:effectExtent l="19050" t="0" r="0" b="0"/>
                  <wp:docPr id="1" name="Picture 1" descr="C:\Documents and Settings\lpierce\My Documents\APTech\Projects\NCHRP 1-46 Pavement Handbook (2009-016-RR01)\Task 6.3 - Pavement Materials (done)\WSDOT aggregate pictures\DSC04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pierce\My Documents\APTech\Projects\NCHRP 1-46 Pavement Handbook (2009-016-RR01)\Task 6.3 - Pavement Materials (done)\WSDOT aggregate pictures\DSC04875.JPG"/>
                          <pic:cNvPicPr>
                            <a:picLocks noChangeAspect="1" noChangeArrowheads="1"/>
                          </pic:cNvPicPr>
                        </pic:nvPicPr>
                        <pic:blipFill>
                          <a:blip r:embed="rId17" cstate="print"/>
                          <a:srcRect l="52009" t="10088" r="19443" b="51923"/>
                          <a:stretch>
                            <a:fillRect/>
                          </a:stretch>
                        </pic:blipFill>
                        <pic:spPr bwMode="auto">
                          <a:xfrm>
                            <a:off x="0" y="0"/>
                            <a:ext cx="2061260" cy="1828800"/>
                          </a:xfrm>
                          <a:prstGeom prst="rect">
                            <a:avLst/>
                          </a:prstGeom>
                          <a:noFill/>
                          <a:ln w="9525">
                            <a:noFill/>
                            <a:miter lim="800000"/>
                            <a:headEnd/>
                            <a:tailEnd/>
                          </a:ln>
                        </pic:spPr>
                      </pic:pic>
                    </a:graphicData>
                  </a:graphic>
                </wp:inline>
              </w:drawing>
            </w:r>
          </w:p>
        </w:tc>
        <w:tc>
          <w:tcPr>
            <w:tcW w:w="3888" w:type="dxa"/>
            <w:vAlign w:val="bottom"/>
          </w:tcPr>
          <w:p w:rsidR="00A217F5" w:rsidRDefault="00A217F5" w:rsidP="007001C4">
            <w:pPr>
              <w:jc w:val="center"/>
            </w:pPr>
            <w:r w:rsidRPr="00A95CC1">
              <w:rPr>
                <w:noProof/>
              </w:rPr>
              <w:drawing>
                <wp:inline distT="0" distB="0" distL="0" distR="0">
                  <wp:extent cx="2062407" cy="1828800"/>
                  <wp:effectExtent l="19050" t="0" r="0" b="0"/>
                  <wp:docPr id="16" name="Picture 1" descr="C:\Documents and Settings\lpierce\My Documents\APTech\Projects\NCHRP 1-46 Pavement Handbook (2009-016-RR01)\Task 6.3 - Pavement Materials (done)\WSDOT aggregate pictures\DSC04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pierce\My Documents\APTech\Projects\NCHRP 1-46 Pavement Handbook (2009-016-RR01)\Task 6.3 - Pavement Materials (done)\WSDOT aggregate pictures\DSC04875.JPG"/>
                          <pic:cNvPicPr>
                            <a:picLocks noChangeAspect="1" noChangeArrowheads="1"/>
                          </pic:cNvPicPr>
                        </pic:nvPicPr>
                        <pic:blipFill>
                          <a:blip r:embed="rId18" cstate="print"/>
                          <a:srcRect l="51342" t="56361" r="19443" b="4848"/>
                          <a:stretch>
                            <a:fillRect/>
                          </a:stretch>
                        </pic:blipFill>
                        <pic:spPr bwMode="auto">
                          <a:xfrm>
                            <a:off x="0" y="0"/>
                            <a:ext cx="2062407" cy="1828800"/>
                          </a:xfrm>
                          <a:prstGeom prst="rect">
                            <a:avLst/>
                          </a:prstGeom>
                          <a:noFill/>
                          <a:ln w="9525">
                            <a:noFill/>
                            <a:miter lim="800000"/>
                            <a:headEnd/>
                            <a:tailEnd/>
                          </a:ln>
                        </pic:spPr>
                      </pic:pic>
                    </a:graphicData>
                  </a:graphic>
                </wp:inline>
              </w:drawing>
            </w:r>
          </w:p>
        </w:tc>
      </w:tr>
      <w:tr w:rsidR="00A217F5" w:rsidTr="007001C4">
        <w:trPr>
          <w:jc w:val="center"/>
        </w:trPr>
        <w:tc>
          <w:tcPr>
            <w:tcW w:w="3888" w:type="dxa"/>
          </w:tcPr>
          <w:p w:rsidR="00A217F5" w:rsidRDefault="00A217F5" w:rsidP="007001C4">
            <w:pPr>
              <w:spacing w:before="120" w:after="120"/>
              <w:jc w:val="center"/>
            </w:pPr>
            <w:r>
              <w:t>a.  Rounded aggregate.</w:t>
            </w:r>
          </w:p>
        </w:tc>
        <w:tc>
          <w:tcPr>
            <w:tcW w:w="3888" w:type="dxa"/>
          </w:tcPr>
          <w:p w:rsidR="00A217F5" w:rsidRDefault="00A217F5" w:rsidP="007001C4">
            <w:pPr>
              <w:spacing w:before="120" w:after="120"/>
              <w:jc w:val="center"/>
            </w:pPr>
            <w:r>
              <w:t>b.  One fractured face.</w:t>
            </w:r>
          </w:p>
        </w:tc>
      </w:tr>
      <w:tr w:rsidR="00A217F5" w:rsidTr="007001C4">
        <w:trPr>
          <w:jc w:val="center"/>
        </w:trPr>
        <w:tc>
          <w:tcPr>
            <w:tcW w:w="3888" w:type="dxa"/>
          </w:tcPr>
          <w:p w:rsidR="00A217F5" w:rsidRDefault="00A217F5" w:rsidP="007001C4">
            <w:pPr>
              <w:jc w:val="center"/>
            </w:pPr>
            <w:r w:rsidRPr="00A95CC1">
              <w:rPr>
                <w:noProof/>
              </w:rPr>
              <w:drawing>
                <wp:inline distT="0" distB="0" distL="0" distR="0">
                  <wp:extent cx="2068316" cy="1828800"/>
                  <wp:effectExtent l="19050" t="0" r="8134" b="0"/>
                  <wp:docPr id="34" name="Picture 1" descr="C:\Documents and Settings\lpierce\My Documents\APTech\Projects\NCHRP 1-46 Pavement Handbook (2009-016-RR01)\Task 6.3 - Pavement Materials (done)\WSDOT aggregate pictures\DSC04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pierce\My Documents\APTech\Projects\NCHRP 1-46 Pavement Handbook (2009-016-RR01)\Task 6.3 - Pavement Materials (done)\WSDOT aggregate pictures\DSC04875.JPG"/>
                          <pic:cNvPicPr>
                            <a:picLocks noChangeAspect="1" noChangeArrowheads="1"/>
                          </pic:cNvPicPr>
                        </pic:nvPicPr>
                        <pic:blipFill>
                          <a:blip r:embed="rId19" cstate="print"/>
                          <a:srcRect l="19955" t="56509" r="50534" b="4438"/>
                          <a:stretch>
                            <a:fillRect/>
                          </a:stretch>
                        </pic:blipFill>
                        <pic:spPr bwMode="auto">
                          <a:xfrm>
                            <a:off x="0" y="0"/>
                            <a:ext cx="2068316" cy="1828800"/>
                          </a:xfrm>
                          <a:prstGeom prst="rect">
                            <a:avLst/>
                          </a:prstGeom>
                          <a:noFill/>
                          <a:ln w="9525">
                            <a:noFill/>
                            <a:miter lim="800000"/>
                            <a:headEnd/>
                            <a:tailEnd/>
                          </a:ln>
                        </pic:spPr>
                      </pic:pic>
                    </a:graphicData>
                  </a:graphic>
                </wp:inline>
              </w:drawing>
            </w:r>
          </w:p>
        </w:tc>
        <w:tc>
          <w:tcPr>
            <w:tcW w:w="3888" w:type="dxa"/>
          </w:tcPr>
          <w:p w:rsidR="00A217F5" w:rsidRDefault="00A217F5" w:rsidP="007001C4">
            <w:pPr>
              <w:jc w:val="center"/>
            </w:pPr>
            <w:r w:rsidRPr="00A95CC1">
              <w:rPr>
                <w:noProof/>
              </w:rPr>
              <w:drawing>
                <wp:inline distT="0" distB="0" distL="0" distR="0">
                  <wp:extent cx="2056532" cy="1828800"/>
                  <wp:effectExtent l="19050" t="0" r="868" b="0"/>
                  <wp:docPr id="36" name="Picture 1" descr="C:\Documents and Settings\lpierce\My Documents\APTech\Projects\NCHRP 1-46 Pavement Handbook (2009-016-RR01)\Task 6.3 - Pavement Materials (done)\WSDOT aggregate pictures\DSC04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pierce\My Documents\APTech\Projects\NCHRP 1-46 Pavement Handbook (2009-016-RR01)\Task 6.3 - Pavement Materials (done)\WSDOT aggregate pictures\DSC04875.JPG"/>
                          <pic:cNvPicPr>
                            <a:picLocks noChangeAspect="1" noChangeArrowheads="1"/>
                          </pic:cNvPicPr>
                        </pic:nvPicPr>
                        <pic:blipFill>
                          <a:blip r:embed="rId20" cstate="print"/>
                          <a:srcRect l="20572" t="5621" r="50139" b="55325"/>
                          <a:stretch>
                            <a:fillRect/>
                          </a:stretch>
                        </pic:blipFill>
                        <pic:spPr bwMode="auto">
                          <a:xfrm>
                            <a:off x="0" y="0"/>
                            <a:ext cx="2056532" cy="1828800"/>
                          </a:xfrm>
                          <a:prstGeom prst="rect">
                            <a:avLst/>
                          </a:prstGeom>
                          <a:noFill/>
                          <a:ln w="9525">
                            <a:noFill/>
                            <a:miter lim="800000"/>
                            <a:headEnd/>
                            <a:tailEnd/>
                          </a:ln>
                        </pic:spPr>
                      </pic:pic>
                    </a:graphicData>
                  </a:graphic>
                </wp:inline>
              </w:drawing>
            </w:r>
          </w:p>
        </w:tc>
      </w:tr>
      <w:tr w:rsidR="00A217F5" w:rsidTr="007001C4">
        <w:trPr>
          <w:jc w:val="center"/>
        </w:trPr>
        <w:tc>
          <w:tcPr>
            <w:tcW w:w="3888" w:type="dxa"/>
          </w:tcPr>
          <w:p w:rsidR="00A217F5" w:rsidRDefault="00A217F5" w:rsidP="007001C4">
            <w:pPr>
              <w:spacing w:before="120" w:after="120"/>
              <w:jc w:val="center"/>
            </w:pPr>
            <w:r>
              <w:t>c.  Multiple fractured faces.</w:t>
            </w:r>
          </w:p>
        </w:tc>
        <w:tc>
          <w:tcPr>
            <w:tcW w:w="3888" w:type="dxa"/>
          </w:tcPr>
          <w:p w:rsidR="00A217F5" w:rsidRDefault="00A217F5" w:rsidP="007001C4">
            <w:pPr>
              <w:spacing w:before="120" w:after="120"/>
              <w:jc w:val="center"/>
            </w:pPr>
            <w:r>
              <w:t>d.  100 percent fractured faces.</w:t>
            </w:r>
          </w:p>
        </w:tc>
      </w:tr>
    </w:tbl>
    <w:p w:rsidR="00F97545" w:rsidRDefault="00F97545" w:rsidP="004B4E81">
      <w:pPr>
        <w:pStyle w:val="APTechFigureCaption"/>
      </w:pPr>
      <w:bookmarkStart w:id="37" w:name="_Ref274372744"/>
      <w:bookmarkStart w:id="38" w:name="_Toc295918034"/>
      <w:r>
        <w:t>Figure</w:t>
      </w:r>
      <w:bookmarkEnd w:id="37"/>
      <w:r w:rsidR="005D69C9">
        <w:t xml:space="preserve"> </w:t>
      </w:r>
      <w:bookmarkStart w:id="39" w:name="f11"/>
      <w:r w:rsidR="00F3038B">
        <w:t>3-</w:t>
      </w:r>
      <w:bookmarkEnd w:id="39"/>
      <w:r w:rsidR="00CC4DEE">
        <w:t>8</w:t>
      </w:r>
      <w:r>
        <w:t>.  Particle angularity (</w:t>
      </w:r>
      <w:r w:rsidR="00A217F5" w:rsidRPr="00A217F5">
        <w:rPr>
          <w:rFonts w:cs="Arial"/>
        </w:rPr>
        <w:t>p</w:t>
      </w:r>
      <w:r w:rsidR="00A217F5">
        <w:rPr>
          <w:rFonts w:cs="Arial"/>
        </w:rPr>
        <w:t xml:space="preserve">hoto courtesy </w:t>
      </w:r>
      <w:r w:rsidR="00E52030">
        <w:rPr>
          <w:rFonts w:cs="Arial"/>
        </w:rPr>
        <w:t>WSDOT</w:t>
      </w:r>
      <w:r>
        <w:t>).</w:t>
      </w:r>
      <w:bookmarkEnd w:id="38"/>
    </w:p>
    <w:p w:rsidR="00595105" w:rsidRPr="00DF7CE4" w:rsidRDefault="00595105" w:rsidP="004B4E81">
      <w:pPr>
        <w:pStyle w:val="APTechFigureCaption"/>
      </w:pPr>
    </w:p>
    <w:p w:rsidR="00F97545" w:rsidRDefault="00D56BF8" w:rsidP="00F97545">
      <w:pPr>
        <w:jc w:val="center"/>
      </w:pPr>
      <w:r>
        <w:rPr>
          <w:noProof/>
        </w:rPr>
        <w:lastRenderedPageBreak/>
        <w:drawing>
          <wp:inline distT="0" distB="0" distL="0" distR="0">
            <wp:extent cx="2277144" cy="1828800"/>
            <wp:effectExtent l="19050" t="0" r="8856" b="0"/>
            <wp:docPr id="4" name="Picture 3" descr="flat and elongated (WSD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 and elongated (WSDOT).JPG"/>
                    <pic:cNvPicPr/>
                  </pic:nvPicPr>
                  <pic:blipFill>
                    <a:blip r:embed="rId21" cstate="print"/>
                    <a:srcRect l="21517" t="16239" r="16833" b="9663"/>
                    <a:stretch>
                      <a:fillRect/>
                    </a:stretch>
                  </pic:blipFill>
                  <pic:spPr>
                    <a:xfrm>
                      <a:off x="0" y="0"/>
                      <a:ext cx="2277144" cy="1828800"/>
                    </a:xfrm>
                    <a:prstGeom prst="rect">
                      <a:avLst/>
                    </a:prstGeom>
                  </pic:spPr>
                </pic:pic>
              </a:graphicData>
            </a:graphic>
          </wp:inline>
        </w:drawing>
      </w:r>
    </w:p>
    <w:p w:rsidR="00F97545" w:rsidRDefault="00F97545" w:rsidP="004B4E81">
      <w:pPr>
        <w:pStyle w:val="APTechFigureCaption"/>
      </w:pPr>
      <w:bookmarkStart w:id="40" w:name="_Ref274372794"/>
      <w:bookmarkStart w:id="41" w:name="_Toc295918035"/>
      <w:r w:rsidRPr="00D56BF8">
        <w:t>Figure</w:t>
      </w:r>
      <w:bookmarkEnd w:id="40"/>
      <w:r w:rsidR="00F3038B" w:rsidRPr="00D56BF8">
        <w:t xml:space="preserve"> </w:t>
      </w:r>
      <w:bookmarkStart w:id="42" w:name="f12"/>
      <w:r w:rsidR="00F3038B" w:rsidRPr="00D56BF8">
        <w:t>3-</w:t>
      </w:r>
      <w:bookmarkEnd w:id="42"/>
      <w:r w:rsidR="00CC4DEE">
        <w:t>9</w:t>
      </w:r>
      <w:r w:rsidRPr="00D56BF8">
        <w:t>.  Flat and elongated particles (</w:t>
      </w:r>
      <w:r w:rsidR="00A217F5" w:rsidRPr="00D56BF8">
        <w:rPr>
          <w:rFonts w:cs="Arial"/>
        </w:rPr>
        <w:t xml:space="preserve">photo courtesy </w:t>
      </w:r>
      <w:r w:rsidR="00E52030" w:rsidRPr="00D56BF8">
        <w:rPr>
          <w:rFonts w:cs="Arial"/>
        </w:rPr>
        <w:t>WSDOT</w:t>
      </w:r>
      <w:r w:rsidRPr="00D56BF8">
        <w:t>).</w:t>
      </w:r>
      <w:bookmarkEnd w:id="41"/>
    </w:p>
    <w:p w:rsidR="00595105" w:rsidRPr="00DF7CE4" w:rsidRDefault="00595105" w:rsidP="004C5C42"/>
    <w:p w:rsidR="004B4E81" w:rsidRDefault="004B4E81" w:rsidP="004C5C42"/>
    <w:p w:rsidR="007E4D1D" w:rsidRDefault="007E4D1D" w:rsidP="00F97545">
      <w:r>
        <w:t>AASHTO T 335,</w:t>
      </w:r>
      <w:r w:rsidRPr="004713FB">
        <w:t xml:space="preserve"> </w:t>
      </w:r>
      <w:r w:rsidR="007F750A">
        <w:rPr>
          <w:i/>
        </w:rPr>
        <w:t>Standard Method of Test for D</w:t>
      </w:r>
      <w:r w:rsidRPr="004E638D">
        <w:rPr>
          <w:i/>
        </w:rPr>
        <w:t>etermining the Percent of Fracture in Coarse Aggregate</w:t>
      </w:r>
      <w:r>
        <w:t xml:space="preserve"> is followed to determine the percent fractured faces in coarse aggregate.  In this method, each coarse aggregate particle in the test sample is visually assessed to determine the degree of fracture.  This is important when rounded gravel has been run through a crusher to obtain the crushed aggregate.  Some specifications require the number of fractured sides be determined as well.</w:t>
      </w:r>
      <w:r w:rsidR="00665E6B">
        <w:t xml:space="preserve"> </w:t>
      </w:r>
      <w:r w:rsidR="00D34F2B">
        <w:t xml:space="preserve"> </w:t>
      </w:r>
      <w:r w:rsidR="00AA7638">
        <w:t xml:space="preserve">Figure 3-10 </w:t>
      </w:r>
      <w:r w:rsidR="00844FC8">
        <w:rPr>
          <w:color w:val="7030A0"/>
        </w:rPr>
        <w:t>illustrates</w:t>
      </w:r>
      <w:r w:rsidR="00665E6B">
        <w:t xml:space="preserve"> the difference between aggregate with </w:t>
      </w:r>
      <w:r w:rsidR="00844FC8">
        <w:rPr>
          <w:color w:val="7030A0"/>
        </w:rPr>
        <w:t xml:space="preserve">no </w:t>
      </w:r>
      <w:r w:rsidR="00665E6B">
        <w:t xml:space="preserve">fractured faces and aggregate with </w:t>
      </w:r>
      <w:r w:rsidR="00844FC8">
        <w:rPr>
          <w:color w:val="7030A0"/>
        </w:rPr>
        <w:t xml:space="preserve">all </w:t>
      </w:r>
      <w:r w:rsidR="00665E6B">
        <w:t>fractured faces</w:t>
      </w:r>
      <w:r w:rsidR="00E527F6">
        <w:t>.</w:t>
      </w:r>
      <w:r w:rsidR="00665E6B">
        <w:t xml:space="preserve"> </w:t>
      </w:r>
    </w:p>
    <w:p w:rsidR="004B777E" w:rsidRDefault="004B777E" w:rsidP="00F97545"/>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32"/>
        <w:gridCol w:w="4032"/>
      </w:tblGrid>
      <w:tr w:rsidR="00A217F5" w:rsidTr="007001C4">
        <w:trPr>
          <w:jc w:val="center"/>
        </w:trPr>
        <w:tc>
          <w:tcPr>
            <w:tcW w:w="4032" w:type="dxa"/>
          </w:tcPr>
          <w:p w:rsidR="00A217F5" w:rsidRDefault="00A217F5" w:rsidP="007001C4">
            <w:r>
              <w:rPr>
                <w:noProof/>
              </w:rPr>
              <w:drawing>
                <wp:inline distT="0" distB="0" distL="0" distR="0">
                  <wp:extent cx="2285795" cy="2035277"/>
                  <wp:effectExtent l="19050" t="0" r="205" b="0"/>
                  <wp:docPr id="42" name="Picture 1" descr="C:\Documents and Settings\lpierce\My Documents\APTech\Projects\NCHRP 1-46 Pavement Handbook (2009-016-RR01)\Task 6.3 - Pavement Materials (done)\WSDOT pictures\DSC04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pierce\My Documents\APTech\Projects\NCHRP 1-46 Pavement Handbook (2009-016-RR01)\Task 6.3 - Pavement Materials (done)\WSDOT pictures\DSC04858.JPG"/>
                          <pic:cNvPicPr>
                            <a:picLocks noChangeAspect="1" noChangeArrowheads="1"/>
                          </pic:cNvPicPr>
                        </pic:nvPicPr>
                        <pic:blipFill>
                          <a:blip r:embed="rId22" cstate="print"/>
                          <a:srcRect l="28774" t="24260" r="23254" b="19527"/>
                          <a:stretch>
                            <a:fillRect/>
                          </a:stretch>
                        </pic:blipFill>
                        <pic:spPr bwMode="auto">
                          <a:xfrm>
                            <a:off x="0" y="0"/>
                            <a:ext cx="2285795" cy="2035277"/>
                          </a:xfrm>
                          <a:prstGeom prst="rect">
                            <a:avLst/>
                          </a:prstGeom>
                          <a:noFill/>
                          <a:ln w="9525">
                            <a:noFill/>
                            <a:miter lim="800000"/>
                            <a:headEnd/>
                            <a:tailEnd/>
                          </a:ln>
                        </pic:spPr>
                      </pic:pic>
                    </a:graphicData>
                  </a:graphic>
                </wp:inline>
              </w:drawing>
            </w:r>
          </w:p>
        </w:tc>
        <w:tc>
          <w:tcPr>
            <w:tcW w:w="4032" w:type="dxa"/>
          </w:tcPr>
          <w:p w:rsidR="00A217F5" w:rsidRDefault="00A217F5" w:rsidP="007001C4">
            <w:pPr>
              <w:jc w:val="center"/>
              <w:rPr>
                <w:szCs w:val="24"/>
              </w:rPr>
            </w:pPr>
            <w:r w:rsidRPr="007C0138">
              <w:rPr>
                <w:noProof/>
                <w:szCs w:val="24"/>
              </w:rPr>
              <w:drawing>
                <wp:inline distT="0" distB="0" distL="0" distR="0">
                  <wp:extent cx="2286000" cy="2033712"/>
                  <wp:effectExtent l="19050" t="0" r="0" b="0"/>
                  <wp:docPr id="43" name="Picture 1" descr="C:\Documents and Settings\lpierce\My Documents\APTech\Projects\NCHRP 1-46 Pavement Handbook (2009-016-RR01)\Task 6.3 - Pavement Materials (done)\WSDOT aggregate pictures\DSC04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pierce\My Documents\APTech\Projects\NCHRP 1-46 Pavement Handbook (2009-016-RR01)\Task 6.3 - Pavement Materials (done)\WSDOT aggregate pictures\DSC04875.JPG"/>
                          <pic:cNvPicPr>
                            <a:picLocks noChangeAspect="1" noChangeArrowheads="1"/>
                          </pic:cNvPicPr>
                        </pic:nvPicPr>
                        <pic:blipFill>
                          <a:blip r:embed="rId20" cstate="print"/>
                          <a:srcRect l="20572" t="5621" r="50139" b="55325"/>
                          <a:stretch>
                            <a:fillRect/>
                          </a:stretch>
                        </pic:blipFill>
                        <pic:spPr bwMode="auto">
                          <a:xfrm>
                            <a:off x="0" y="0"/>
                            <a:ext cx="2286000" cy="2033712"/>
                          </a:xfrm>
                          <a:prstGeom prst="rect">
                            <a:avLst/>
                          </a:prstGeom>
                          <a:noFill/>
                          <a:ln w="9525">
                            <a:noFill/>
                            <a:miter lim="800000"/>
                            <a:headEnd/>
                            <a:tailEnd/>
                          </a:ln>
                        </pic:spPr>
                      </pic:pic>
                    </a:graphicData>
                  </a:graphic>
                </wp:inline>
              </w:drawing>
            </w:r>
          </w:p>
        </w:tc>
      </w:tr>
      <w:tr w:rsidR="00A217F5" w:rsidTr="007001C4">
        <w:trPr>
          <w:jc w:val="center"/>
        </w:trPr>
        <w:tc>
          <w:tcPr>
            <w:tcW w:w="4032" w:type="dxa"/>
          </w:tcPr>
          <w:p w:rsidR="00A217F5" w:rsidRDefault="00A217F5" w:rsidP="007001C4">
            <w:pPr>
              <w:spacing w:before="120"/>
              <w:jc w:val="center"/>
              <w:rPr>
                <w:szCs w:val="24"/>
              </w:rPr>
            </w:pPr>
            <w:r>
              <w:rPr>
                <w:szCs w:val="24"/>
              </w:rPr>
              <w:t>a.  100 % non-fractured.</w:t>
            </w:r>
          </w:p>
        </w:tc>
        <w:tc>
          <w:tcPr>
            <w:tcW w:w="4032" w:type="dxa"/>
          </w:tcPr>
          <w:p w:rsidR="00A217F5" w:rsidRDefault="00A217F5" w:rsidP="007001C4">
            <w:pPr>
              <w:spacing w:before="120"/>
              <w:jc w:val="center"/>
              <w:rPr>
                <w:szCs w:val="24"/>
              </w:rPr>
            </w:pPr>
            <w:r>
              <w:rPr>
                <w:szCs w:val="24"/>
              </w:rPr>
              <w:t>b.  100% fractured.</w:t>
            </w:r>
          </w:p>
        </w:tc>
      </w:tr>
    </w:tbl>
    <w:p w:rsidR="00F97545" w:rsidRPr="00DF7CE4" w:rsidRDefault="00743D9E" w:rsidP="004B4E81">
      <w:pPr>
        <w:pStyle w:val="APTechFigureCaption"/>
      </w:pPr>
      <w:bookmarkStart w:id="43" w:name="f13"/>
      <w:bookmarkStart w:id="44" w:name="_Toc295918037"/>
      <w:r>
        <w:t xml:space="preserve">Figure </w:t>
      </w:r>
      <w:r w:rsidR="00F3038B">
        <w:t>3-1</w:t>
      </w:r>
      <w:bookmarkEnd w:id="43"/>
      <w:r w:rsidR="00CC4DEE">
        <w:t>0</w:t>
      </w:r>
      <w:r w:rsidR="00F97545">
        <w:t>.  Aggregate with 100</w:t>
      </w:r>
      <w:r w:rsidR="00583AC9">
        <w:t xml:space="preserve"> percent</w:t>
      </w:r>
      <w:r w:rsidR="00F97545">
        <w:t xml:space="preserve"> </w:t>
      </w:r>
      <w:r w:rsidR="00A217F5">
        <w:t>non-</w:t>
      </w:r>
      <w:r w:rsidR="00F97545">
        <w:t xml:space="preserve">fractured faces and aggregate with </w:t>
      </w:r>
      <w:r w:rsidR="00A217F5">
        <w:t>100</w:t>
      </w:r>
      <w:r w:rsidR="00F97545">
        <w:br/>
      </w:r>
      <w:r w:rsidR="00A217F5">
        <w:t xml:space="preserve">percent </w:t>
      </w:r>
      <w:r w:rsidR="00F97545">
        <w:t>fractured faces (</w:t>
      </w:r>
      <w:r w:rsidR="00A217F5">
        <w:rPr>
          <w:rFonts w:cs="Arial"/>
        </w:rPr>
        <w:t xml:space="preserve">photo courtesy </w:t>
      </w:r>
      <w:r w:rsidR="00E52030">
        <w:rPr>
          <w:rFonts w:cs="Arial"/>
        </w:rPr>
        <w:t>WSDOT</w:t>
      </w:r>
      <w:r w:rsidR="00F97545">
        <w:t>).</w:t>
      </w:r>
      <w:bookmarkEnd w:id="44"/>
    </w:p>
    <w:p w:rsidR="007E4D1D" w:rsidRDefault="007E4D1D" w:rsidP="00F97545"/>
    <w:p w:rsidR="00B66584" w:rsidRDefault="007E4D1D" w:rsidP="00F97545">
      <w:r>
        <w:t xml:space="preserve">Flat and elongated particles may interfere with consolidation and result in harsh, difficult to place, materials.  They are determined using ASTM D4791, </w:t>
      </w:r>
      <w:r>
        <w:rPr>
          <w:i/>
        </w:rPr>
        <w:t>Standard Test Method for Flat Particles, Elongated Particles, or Flat and Elongated Particles in Coarse Aggregate.</w:t>
      </w:r>
      <w:r>
        <w:t xml:space="preserve">  In this test, specially designed calipers </w:t>
      </w:r>
      <w:r w:rsidR="00AA7638">
        <w:t>(Figure 3-11)</w:t>
      </w:r>
      <w:r w:rsidR="00D34F2B">
        <w:t xml:space="preserve"> </w:t>
      </w:r>
      <w:r>
        <w:t>are used to measure the ratio of the largest dimension to the smallest, with a maximum ratio of 5:1 usually established in specifications as the limit, although this varies with application and agency.</w:t>
      </w:r>
    </w:p>
    <w:p w:rsidR="00B66584" w:rsidRDefault="00B66584" w:rsidP="00F97545"/>
    <w:p w:rsidR="006B3181" w:rsidRDefault="004166B4" w:rsidP="00A217F5">
      <w:pPr>
        <w:jc w:val="center"/>
      </w:pPr>
      <w:r>
        <w:rPr>
          <w:noProof/>
        </w:rPr>
        <w:lastRenderedPageBreak/>
        <w:drawing>
          <wp:anchor distT="0" distB="0" distL="114300" distR="114300" simplePos="0" relativeHeight="251661312" behindDoc="0" locked="0" layoutInCell="1" allowOverlap="1">
            <wp:simplePos x="0" y="0"/>
            <wp:positionH relativeFrom="column">
              <wp:posOffset>4071505</wp:posOffset>
            </wp:positionH>
            <wp:positionV relativeFrom="paragraph">
              <wp:posOffset>1520363</wp:posOffset>
            </wp:positionV>
            <wp:extent cx="1071995" cy="758537"/>
            <wp:effectExtent l="19050" t="0" r="0" b="0"/>
            <wp:wrapNone/>
            <wp:docPr id="40" name="Picture 2" descr="C:\Documents and Settings\lpierce\My Documents\APTech\Projects\NCHRP 1-46 Pavement Handbook (2009-016-RR01)\Task 6.3 - Pavement Materials (done)\WSDOT pictures\DSC04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lpierce\My Documents\APTech\Projects\NCHRP 1-46 Pavement Handbook (2009-016-RR01)\Task 6.3 - Pavement Materials (done)\WSDOT pictures\DSC04866.JPG"/>
                    <pic:cNvPicPr>
                      <a:picLocks noChangeAspect="1" noChangeArrowheads="1"/>
                    </pic:cNvPicPr>
                  </pic:nvPicPr>
                  <pic:blipFill>
                    <a:blip r:embed="rId23" cstate="print"/>
                    <a:srcRect l="46453" t="55767" r="31588" b="20913"/>
                    <a:stretch>
                      <a:fillRect/>
                    </a:stretch>
                  </pic:blipFill>
                  <pic:spPr bwMode="auto">
                    <a:xfrm>
                      <a:off x="0" y="0"/>
                      <a:ext cx="1071995" cy="758537"/>
                    </a:xfrm>
                    <a:prstGeom prst="rect">
                      <a:avLst/>
                    </a:prstGeom>
                    <a:noFill/>
                    <a:ln w="9525">
                      <a:noFill/>
                      <a:miter lim="800000"/>
                      <a:headEnd/>
                      <a:tailEnd/>
                    </a:ln>
                    <a:effectLst>
                      <a:softEdge rad="31750"/>
                    </a:effectLst>
                  </pic:spPr>
                </pic:pic>
              </a:graphicData>
            </a:graphic>
          </wp:anchor>
        </w:drawing>
      </w:r>
      <w:r w:rsidR="00A217F5" w:rsidRPr="00A217F5">
        <w:rPr>
          <w:noProof/>
        </w:rPr>
        <w:drawing>
          <wp:inline distT="0" distB="0" distL="0" distR="0">
            <wp:extent cx="4572000" cy="2455611"/>
            <wp:effectExtent l="19050" t="0" r="0" b="0"/>
            <wp:docPr id="44" name="Picture 2" descr="C:\Documents and Settings\lpierce\My Documents\APTech\Projects\NCHRP 1-46 Pavement Handbook (2009-016-RR01)\Task 6.3 - Pavement Materials (done)\WSDOT pictures\DSC04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lpierce\My Documents\APTech\Projects\NCHRP 1-46 Pavement Handbook (2009-016-RR01)\Task 6.3 - Pavement Materials (done)\WSDOT pictures\DSC04866.JPG"/>
                    <pic:cNvPicPr>
                      <a:picLocks noChangeAspect="1" noChangeArrowheads="1"/>
                    </pic:cNvPicPr>
                  </pic:nvPicPr>
                  <pic:blipFill>
                    <a:blip r:embed="rId23" cstate="print"/>
                    <a:srcRect l="493" t="17604" r="6609" b="7544"/>
                    <a:stretch>
                      <a:fillRect/>
                    </a:stretch>
                  </pic:blipFill>
                  <pic:spPr bwMode="auto">
                    <a:xfrm>
                      <a:off x="0" y="0"/>
                      <a:ext cx="4572000" cy="2455611"/>
                    </a:xfrm>
                    <a:prstGeom prst="rect">
                      <a:avLst/>
                    </a:prstGeom>
                    <a:noFill/>
                    <a:ln w="9525">
                      <a:noFill/>
                      <a:miter lim="800000"/>
                      <a:headEnd/>
                      <a:tailEnd/>
                    </a:ln>
                  </pic:spPr>
                </pic:pic>
              </a:graphicData>
            </a:graphic>
          </wp:inline>
        </w:drawing>
      </w:r>
    </w:p>
    <w:p w:rsidR="006B3181" w:rsidRDefault="00D34F2B" w:rsidP="004B4E81">
      <w:pPr>
        <w:pStyle w:val="APTechFigureCaption"/>
      </w:pPr>
      <w:bookmarkStart w:id="45" w:name="_Ref274373110"/>
      <w:bookmarkStart w:id="46" w:name="f14"/>
      <w:bookmarkStart w:id="47" w:name="_Toc295918038"/>
      <w:r>
        <w:t>Figure</w:t>
      </w:r>
      <w:bookmarkEnd w:id="45"/>
      <w:r w:rsidR="00F3038B">
        <w:t xml:space="preserve"> 3-1</w:t>
      </w:r>
      <w:bookmarkEnd w:id="46"/>
      <w:r w:rsidR="00CC4DEE">
        <w:t>1</w:t>
      </w:r>
      <w:r>
        <w:t xml:space="preserve">.  </w:t>
      </w:r>
      <w:r w:rsidR="006B3181">
        <w:t>Calipers for evaluating flat and elongated particles</w:t>
      </w:r>
      <w:r w:rsidR="00E52030">
        <w:br/>
      </w:r>
      <w:r>
        <w:t>(</w:t>
      </w:r>
      <w:r w:rsidR="00A217F5">
        <w:t xml:space="preserve">photo </w:t>
      </w:r>
      <w:r w:rsidR="00E52030">
        <w:t>courtesy WSDOT</w:t>
      </w:r>
      <w:r>
        <w:t>)</w:t>
      </w:r>
      <w:r w:rsidR="006B3181">
        <w:t>.</w:t>
      </w:r>
      <w:bookmarkEnd w:id="47"/>
    </w:p>
    <w:p w:rsidR="006B3181" w:rsidRPr="004E638D" w:rsidRDefault="006B3181" w:rsidP="00D34F2B"/>
    <w:p w:rsidR="007E4D1D" w:rsidRDefault="007E4D1D" w:rsidP="00D34F2B">
      <w:pPr>
        <w:pStyle w:val="Heading4"/>
      </w:pPr>
      <w:bookmarkStart w:id="48" w:name="_Toc295918612"/>
      <w:r>
        <w:t>Durability</w:t>
      </w:r>
      <w:bookmarkEnd w:id="48"/>
    </w:p>
    <w:p w:rsidR="007E4D1D" w:rsidRDefault="007E4D1D" w:rsidP="00D34F2B">
      <w:r>
        <w:t>A number of durability issues can affect the performance of aggregates for various applications.  As a general measure of aggregate quality, specifications will commonly use the following test methods:</w:t>
      </w:r>
    </w:p>
    <w:p w:rsidR="007E4D1D" w:rsidRDefault="007E4D1D" w:rsidP="00D34F2B"/>
    <w:p w:rsidR="007E4D1D" w:rsidRPr="00531FBC" w:rsidRDefault="007E4D1D" w:rsidP="005B140A">
      <w:pPr>
        <w:pStyle w:val="ListParagraph"/>
        <w:numPr>
          <w:ilvl w:val="0"/>
          <w:numId w:val="3"/>
        </w:numPr>
        <w:adjustRightInd w:val="0"/>
        <w:ind w:left="720"/>
        <w:rPr>
          <w:spacing w:val="-2"/>
        </w:rPr>
      </w:pPr>
      <w:r>
        <w:rPr>
          <w:spacing w:val="-2"/>
        </w:rPr>
        <w:t xml:space="preserve">AASHTO T 104, </w:t>
      </w:r>
      <w:r>
        <w:rPr>
          <w:i/>
          <w:spacing w:val="-2"/>
        </w:rPr>
        <w:t>Standard Method of Test for Soundness of Aggregate by Use of Sodium Sulfate or Magnesium Sulfate</w:t>
      </w:r>
    </w:p>
    <w:p w:rsidR="007E4D1D" w:rsidRPr="003771E3" w:rsidRDefault="007E4D1D" w:rsidP="005B140A">
      <w:pPr>
        <w:pStyle w:val="ListParagraph"/>
        <w:numPr>
          <w:ilvl w:val="0"/>
          <w:numId w:val="3"/>
        </w:numPr>
        <w:adjustRightInd w:val="0"/>
        <w:ind w:left="720"/>
        <w:rPr>
          <w:spacing w:val="-2"/>
        </w:rPr>
      </w:pPr>
      <w:r>
        <w:rPr>
          <w:spacing w:val="-2"/>
        </w:rPr>
        <w:t xml:space="preserve">AASHTO T 112, </w:t>
      </w:r>
      <w:r>
        <w:rPr>
          <w:i/>
          <w:spacing w:val="-2"/>
        </w:rPr>
        <w:t>Standard Method of Test for Clay Lumps and Friable Particles in Aggregate</w:t>
      </w:r>
    </w:p>
    <w:p w:rsidR="007E4D1D" w:rsidRPr="003771E3" w:rsidRDefault="007E4D1D" w:rsidP="005B140A">
      <w:pPr>
        <w:pStyle w:val="ListParagraph"/>
        <w:numPr>
          <w:ilvl w:val="0"/>
          <w:numId w:val="3"/>
        </w:numPr>
        <w:adjustRightInd w:val="0"/>
        <w:ind w:left="720"/>
        <w:rPr>
          <w:spacing w:val="-2"/>
        </w:rPr>
      </w:pPr>
      <w:r>
        <w:rPr>
          <w:spacing w:val="-2"/>
        </w:rPr>
        <w:t xml:space="preserve">AASHTO T 113, </w:t>
      </w:r>
      <w:r>
        <w:rPr>
          <w:i/>
          <w:spacing w:val="-2"/>
        </w:rPr>
        <w:t>Standard Method of Test for Lightweight Pieces in Aggregate</w:t>
      </w:r>
    </w:p>
    <w:p w:rsidR="007E4D1D" w:rsidRDefault="007E4D1D" w:rsidP="00531FBC">
      <w:pPr>
        <w:adjustRightInd w:val="0"/>
        <w:rPr>
          <w:spacing w:val="-2"/>
        </w:rPr>
      </w:pPr>
    </w:p>
    <w:p w:rsidR="007E4D1D" w:rsidRDefault="007E4D1D" w:rsidP="00D34F2B">
      <w:r>
        <w:t>In addition, a number of test methods are used to assess the resistance of aggregates to abrasion and wear including:</w:t>
      </w:r>
    </w:p>
    <w:p w:rsidR="007E4D1D" w:rsidRDefault="007E4D1D" w:rsidP="00D34F2B"/>
    <w:p w:rsidR="007E4D1D" w:rsidRPr="00531FBC" w:rsidRDefault="007E4D1D" w:rsidP="005B140A">
      <w:pPr>
        <w:pStyle w:val="ListParagraph"/>
        <w:numPr>
          <w:ilvl w:val="0"/>
          <w:numId w:val="3"/>
        </w:numPr>
        <w:adjustRightInd w:val="0"/>
        <w:ind w:left="720"/>
        <w:rPr>
          <w:spacing w:val="-2"/>
        </w:rPr>
      </w:pPr>
      <w:r>
        <w:rPr>
          <w:spacing w:val="-2"/>
        </w:rPr>
        <w:t xml:space="preserve">AASHTO T 96, </w:t>
      </w:r>
      <w:r>
        <w:rPr>
          <w:i/>
          <w:spacing w:val="-2"/>
        </w:rPr>
        <w:t>Standard Method of Test for Resistance to Degradation of Small-Size Coarse Aggregate by Abrasion and Impact in the Los Ang</w:t>
      </w:r>
      <w:r w:rsidR="008D3A4C">
        <w:rPr>
          <w:i/>
          <w:spacing w:val="-2"/>
        </w:rPr>
        <w:t>e</w:t>
      </w:r>
      <w:r>
        <w:rPr>
          <w:i/>
          <w:spacing w:val="-2"/>
        </w:rPr>
        <w:t>les Machine</w:t>
      </w:r>
    </w:p>
    <w:p w:rsidR="007E4D1D" w:rsidRPr="00150CF7" w:rsidRDefault="007E4D1D" w:rsidP="005B140A">
      <w:pPr>
        <w:pStyle w:val="ListParagraph"/>
        <w:numPr>
          <w:ilvl w:val="0"/>
          <w:numId w:val="3"/>
        </w:numPr>
        <w:adjustRightInd w:val="0"/>
        <w:ind w:left="720"/>
        <w:rPr>
          <w:spacing w:val="-2"/>
        </w:rPr>
      </w:pPr>
      <w:r>
        <w:rPr>
          <w:spacing w:val="-2"/>
        </w:rPr>
        <w:t xml:space="preserve">AASHTO T 279, </w:t>
      </w:r>
      <w:r>
        <w:rPr>
          <w:i/>
          <w:spacing w:val="-2"/>
        </w:rPr>
        <w:t>Standard Method of Test for Accelerated Polishing of Aggregates Using the British Wheel</w:t>
      </w:r>
    </w:p>
    <w:p w:rsidR="007E4D1D" w:rsidRPr="00150CF7" w:rsidRDefault="007E4D1D" w:rsidP="005B140A">
      <w:pPr>
        <w:pStyle w:val="ListParagraph"/>
        <w:numPr>
          <w:ilvl w:val="0"/>
          <w:numId w:val="3"/>
        </w:numPr>
        <w:adjustRightInd w:val="0"/>
        <w:ind w:left="720"/>
        <w:rPr>
          <w:spacing w:val="-2"/>
        </w:rPr>
      </w:pPr>
      <w:r>
        <w:rPr>
          <w:spacing w:val="-2"/>
        </w:rPr>
        <w:t xml:space="preserve">AASHTO T 327, </w:t>
      </w:r>
      <w:r>
        <w:rPr>
          <w:i/>
          <w:spacing w:val="-2"/>
        </w:rPr>
        <w:t>Standard Method of Test for Resistance of Coarse Aggregate to Degradation by Abrasion in the Micro-Deval Apparatus</w:t>
      </w:r>
    </w:p>
    <w:p w:rsidR="007E4D1D" w:rsidRDefault="007E4D1D" w:rsidP="00D34F2B"/>
    <w:p w:rsidR="007E4D1D" w:rsidRDefault="007E4D1D" w:rsidP="00D34F2B">
      <w:pPr>
        <w:pStyle w:val="Heading4"/>
      </w:pPr>
      <w:bookmarkStart w:id="49" w:name="_Toc295918613"/>
      <w:r>
        <w:t>Soil C</w:t>
      </w:r>
      <w:r w:rsidRPr="008A10DC">
        <w:t>lassification</w:t>
      </w:r>
      <w:bookmarkEnd w:id="49"/>
      <w:r w:rsidRPr="008A10DC">
        <w:t xml:space="preserve"> </w:t>
      </w:r>
    </w:p>
    <w:p w:rsidR="007E4D1D" w:rsidRDefault="007E4D1D" w:rsidP="00D34F2B">
      <w:r>
        <w:t xml:space="preserve">Soils are classified for engineering purposes using the results of particle size analysis and Atterberg limits, being grossly classified as being either “coarse-grained” or “fine-grained” soils.  Coarse-grained soils are further divided into gravels and sands whereas fine-grained soils are further divided into silt and clay.  The </w:t>
      </w:r>
      <w:r w:rsidR="007543E3">
        <w:t>latter</w:t>
      </w:r>
      <w:r>
        <w:t xml:space="preserve"> are further characterized as being low-plasticity or high-plasticity depend</w:t>
      </w:r>
      <w:r w:rsidR="00A2538A">
        <w:t>ing on their Atterberg limits.</w:t>
      </w:r>
    </w:p>
    <w:p w:rsidR="007E4D1D" w:rsidRDefault="007E4D1D" w:rsidP="00D34F2B"/>
    <w:p w:rsidR="007E4D1D" w:rsidRDefault="007E4D1D" w:rsidP="00D34F2B">
      <w:r>
        <w:t xml:space="preserve">Two major soil classification systems used by engineers are the AASHTO M 145, </w:t>
      </w:r>
      <w:r w:rsidRPr="00A04EEC">
        <w:rPr>
          <w:i/>
        </w:rPr>
        <w:t xml:space="preserve">Standard Specification for Classification of Soil and Soil-Aggregate Mixtures for Highway Construction </w:t>
      </w:r>
      <w:r w:rsidRPr="00A04EEC">
        <w:rPr>
          <w:i/>
        </w:rPr>
        <w:lastRenderedPageBreak/>
        <w:t xml:space="preserve">Purposes </w:t>
      </w:r>
      <w:r>
        <w:t xml:space="preserve">as shown in </w:t>
      </w:r>
      <w:r w:rsidR="00A806A8">
        <w:t xml:space="preserve">Table 3-3 </w:t>
      </w:r>
      <w:r>
        <w:t xml:space="preserve">and ASTM D2487, </w:t>
      </w:r>
      <w:r w:rsidRPr="00D34F2B">
        <w:rPr>
          <w:i/>
        </w:rPr>
        <w:t>Standard Practice for Classification of Soils for Engineering Purposes (Unified Soil Classification System)</w:t>
      </w:r>
      <w:r>
        <w:t xml:space="preserve"> illustrated in </w:t>
      </w:r>
      <w:r w:rsidR="00F3038B">
        <w:t>Table</w:t>
      </w:r>
      <w:r w:rsidR="00A806A8">
        <w:t xml:space="preserve"> 3-4</w:t>
      </w:r>
      <w:r w:rsidRPr="00A04EEC">
        <w:t>.  Using these classification systems, engineers can understand and communicate a great deal</w:t>
      </w:r>
      <w:r>
        <w:t xml:space="preserve"> about the soil that they are working with using simple designations.</w:t>
      </w:r>
    </w:p>
    <w:p w:rsidR="00595105" w:rsidRDefault="00595105" w:rsidP="00D34F2B"/>
    <w:p w:rsidR="00595105" w:rsidRDefault="00595105" w:rsidP="00595105">
      <w:r>
        <w:t>A complete classification of a soil using the AASHTO method also involves calculating the group index, which is reported as a whole, non-negative number in parentheses after the symbol, such as A-2-6(3) or A-7-5(17).  The group index is calculated using a nomograph or the equation below.</w:t>
      </w:r>
    </w:p>
    <w:p w:rsidR="00595105" w:rsidRDefault="00595105" w:rsidP="00595105"/>
    <w:p w:rsidR="00595105" w:rsidRPr="00A04EEC" w:rsidRDefault="00595105" w:rsidP="00595105">
      <w:pPr>
        <w:tabs>
          <w:tab w:val="center" w:pos="4680"/>
          <w:tab w:val="right" w:pos="9360"/>
        </w:tabs>
        <w:rPr>
          <w:rFonts w:eastAsiaTheme="minorEastAsia"/>
          <w:szCs w:val="24"/>
        </w:rPr>
      </w:pPr>
      <w:r>
        <w:rPr>
          <w:rFonts w:ascii="Arial" w:eastAsiaTheme="minorEastAsia" w:hAnsi="Arial" w:cstheme="minorBidi"/>
          <w:i/>
          <w:szCs w:val="24"/>
        </w:rPr>
        <w:tab/>
      </w:r>
      <m:oMath>
        <m:r>
          <w:rPr>
            <w:rFonts w:ascii="Cambria Math" w:eastAsiaTheme="minorEastAsia" w:hAnsi="Cambria Math" w:cstheme="minorBidi"/>
            <w:szCs w:val="24"/>
          </w:rPr>
          <m:t>GI=</m:t>
        </m:r>
        <m:d>
          <m:dPr>
            <m:ctrlPr>
              <w:rPr>
                <w:rFonts w:ascii="Cambria Math" w:eastAsiaTheme="minorEastAsia" w:hAnsi="Cambria Math" w:cstheme="minorBidi"/>
                <w:i/>
                <w:szCs w:val="24"/>
              </w:rPr>
            </m:ctrlPr>
          </m:dPr>
          <m:e>
            <m:r>
              <w:rPr>
                <w:rFonts w:ascii="Cambria Math" w:eastAsiaTheme="minorEastAsia" w:hAnsi="Cambria Math" w:cstheme="minorBidi"/>
                <w:szCs w:val="24"/>
              </w:rPr>
              <m:t>F-35</m:t>
            </m:r>
          </m:e>
        </m:d>
        <m:r>
          <w:rPr>
            <w:rFonts w:ascii="Cambria Math" w:eastAsiaTheme="minorEastAsia" w:hAnsi="Cambria Math" w:cstheme="minorBidi"/>
            <w:szCs w:val="24"/>
          </w:rPr>
          <m:t>×</m:t>
        </m:r>
        <m:d>
          <m:dPr>
            <m:begChr m:val="["/>
            <m:endChr m:val="]"/>
            <m:ctrlPr>
              <w:rPr>
                <w:rFonts w:ascii="Cambria Math" w:eastAsiaTheme="minorEastAsia" w:hAnsi="Cambria Math" w:cstheme="minorBidi"/>
                <w:i/>
                <w:szCs w:val="24"/>
              </w:rPr>
            </m:ctrlPr>
          </m:dPr>
          <m:e>
            <m:r>
              <w:rPr>
                <w:rFonts w:ascii="Cambria Math" w:eastAsiaTheme="minorEastAsia" w:hAnsi="Cambria Math" w:cstheme="minorBidi"/>
                <w:szCs w:val="24"/>
              </w:rPr>
              <m:t>0.2+0.005</m:t>
            </m:r>
            <m:d>
              <m:dPr>
                <m:ctrlPr>
                  <w:rPr>
                    <w:rFonts w:ascii="Cambria Math" w:eastAsiaTheme="minorEastAsia" w:hAnsi="Cambria Math" w:cstheme="minorBidi"/>
                    <w:i/>
                    <w:szCs w:val="24"/>
                  </w:rPr>
                </m:ctrlPr>
              </m:dPr>
              <m:e>
                <m:r>
                  <w:rPr>
                    <w:rFonts w:ascii="Cambria Math" w:eastAsiaTheme="minorEastAsia" w:hAnsi="Cambria Math" w:cstheme="minorBidi"/>
                    <w:szCs w:val="24"/>
                  </w:rPr>
                  <m:t>LL-40</m:t>
                </m:r>
              </m:e>
            </m:d>
          </m:e>
        </m:d>
        <m:r>
          <w:rPr>
            <w:rFonts w:ascii="Cambria Math" w:eastAsiaTheme="minorEastAsia" w:hAnsi="Cambria Math" w:cstheme="minorBidi"/>
            <w:szCs w:val="24"/>
          </w:rPr>
          <m:t>+0.01</m:t>
        </m:r>
        <m:d>
          <m:dPr>
            <m:ctrlPr>
              <w:rPr>
                <w:rFonts w:ascii="Cambria Math" w:eastAsiaTheme="minorEastAsia" w:hAnsi="Cambria Math" w:cstheme="minorBidi"/>
                <w:i/>
                <w:szCs w:val="24"/>
              </w:rPr>
            </m:ctrlPr>
          </m:dPr>
          <m:e>
            <m:r>
              <w:rPr>
                <w:rFonts w:ascii="Cambria Math" w:eastAsiaTheme="minorEastAsia" w:hAnsi="Cambria Math" w:cstheme="minorBidi"/>
                <w:szCs w:val="24"/>
              </w:rPr>
              <m:t>F-15</m:t>
            </m:r>
          </m:e>
        </m:d>
        <m:r>
          <w:rPr>
            <w:rFonts w:ascii="Cambria Math" w:eastAsiaTheme="minorEastAsia" w:hAnsi="Cambria Math" w:cstheme="minorBidi"/>
            <w:szCs w:val="24"/>
          </w:rPr>
          <m:t>×(PI-10)</m:t>
        </m:r>
      </m:oMath>
      <w:r>
        <w:rPr>
          <w:rFonts w:ascii="Arial" w:eastAsiaTheme="minorEastAsia" w:hAnsi="Arial" w:cstheme="minorBidi"/>
          <w:i/>
          <w:szCs w:val="24"/>
        </w:rPr>
        <w:tab/>
      </w:r>
      <w:r w:rsidRPr="00A04EEC">
        <w:rPr>
          <w:rFonts w:eastAsiaTheme="minorEastAsia"/>
          <w:szCs w:val="24"/>
        </w:rPr>
        <w:t>(</w:t>
      </w:r>
      <w:r w:rsidR="00402C07">
        <w:rPr>
          <w:szCs w:val="24"/>
        </w:rPr>
        <w:t>3-</w:t>
      </w:r>
      <w:r w:rsidRPr="00A04EEC">
        <w:rPr>
          <w:rFonts w:eastAsiaTheme="minorEastAsia"/>
          <w:szCs w:val="24"/>
        </w:rPr>
        <w:t>13)</w:t>
      </w:r>
    </w:p>
    <w:p w:rsidR="00595105" w:rsidRPr="00983B36" w:rsidRDefault="00595105" w:rsidP="00595105">
      <w:pPr>
        <w:spacing w:before="120" w:after="120"/>
        <w:rPr>
          <w:szCs w:val="24"/>
        </w:rPr>
      </w:pPr>
      <w:r w:rsidRPr="00983B36">
        <w:rPr>
          <w:szCs w:val="24"/>
        </w:rPr>
        <w:t>where:</w:t>
      </w:r>
    </w:p>
    <w:p w:rsidR="00595105" w:rsidRPr="005433F3" w:rsidRDefault="00595105" w:rsidP="00595105">
      <w:pPr>
        <w:tabs>
          <w:tab w:val="right" w:pos="1080"/>
          <w:tab w:val="left" w:pos="1440"/>
          <w:tab w:val="left" w:pos="1800"/>
        </w:tabs>
        <w:ind w:left="1800" w:hanging="1800"/>
        <w:rPr>
          <w:szCs w:val="24"/>
        </w:rPr>
      </w:pPr>
      <w:r>
        <w:rPr>
          <w:i/>
          <w:szCs w:val="24"/>
        </w:rPr>
        <w:tab/>
        <w:t>GI</w:t>
      </w:r>
      <w:r>
        <w:rPr>
          <w:i/>
          <w:szCs w:val="24"/>
        </w:rPr>
        <w:tab/>
        <w:t>=</w:t>
      </w:r>
      <w:r>
        <w:rPr>
          <w:i/>
          <w:szCs w:val="24"/>
        </w:rPr>
        <w:tab/>
      </w:r>
      <w:r w:rsidR="00DF35C4">
        <w:rPr>
          <w:szCs w:val="24"/>
        </w:rPr>
        <w:t>Group Index</w:t>
      </w:r>
    </w:p>
    <w:p w:rsidR="00595105" w:rsidRPr="00983B36" w:rsidRDefault="00595105" w:rsidP="00595105">
      <w:pPr>
        <w:tabs>
          <w:tab w:val="right" w:pos="1080"/>
          <w:tab w:val="left" w:pos="1440"/>
          <w:tab w:val="left" w:pos="1800"/>
        </w:tabs>
        <w:ind w:left="1800" w:hanging="1800"/>
        <w:rPr>
          <w:i/>
          <w:szCs w:val="24"/>
        </w:rPr>
      </w:pPr>
      <w:r>
        <w:rPr>
          <w:i/>
          <w:szCs w:val="24"/>
        </w:rPr>
        <w:tab/>
      </w:r>
      <w:r w:rsidRPr="00983B36">
        <w:rPr>
          <w:i/>
          <w:szCs w:val="24"/>
        </w:rPr>
        <w:t>F</w:t>
      </w:r>
      <w:r>
        <w:rPr>
          <w:i/>
          <w:szCs w:val="24"/>
        </w:rPr>
        <w:tab/>
      </w:r>
      <w:r w:rsidRPr="00983B36">
        <w:rPr>
          <w:i/>
          <w:szCs w:val="24"/>
        </w:rPr>
        <w:t>=</w:t>
      </w:r>
      <w:r>
        <w:rPr>
          <w:i/>
          <w:szCs w:val="24"/>
        </w:rPr>
        <w:tab/>
      </w:r>
      <w:r>
        <w:rPr>
          <w:szCs w:val="24"/>
        </w:rPr>
        <w:t>P</w:t>
      </w:r>
      <w:r w:rsidRPr="00983B36">
        <w:rPr>
          <w:szCs w:val="24"/>
        </w:rPr>
        <w:t>ercent passing No. 200 (0.075 mm) sieve</w:t>
      </w:r>
    </w:p>
    <w:p w:rsidR="00595105" w:rsidRPr="00983B36" w:rsidRDefault="00595105" w:rsidP="00595105">
      <w:pPr>
        <w:tabs>
          <w:tab w:val="right" w:pos="1080"/>
          <w:tab w:val="left" w:pos="1440"/>
          <w:tab w:val="left" w:pos="1800"/>
        </w:tabs>
        <w:ind w:left="1800" w:hanging="1800"/>
        <w:rPr>
          <w:i/>
          <w:szCs w:val="24"/>
        </w:rPr>
      </w:pPr>
      <w:r>
        <w:rPr>
          <w:i/>
          <w:szCs w:val="24"/>
        </w:rPr>
        <w:tab/>
      </w:r>
      <w:r w:rsidRPr="00983B36">
        <w:rPr>
          <w:i/>
          <w:szCs w:val="24"/>
        </w:rPr>
        <w:t>LL</w:t>
      </w:r>
      <w:r>
        <w:rPr>
          <w:i/>
          <w:szCs w:val="24"/>
        </w:rPr>
        <w:tab/>
      </w:r>
      <w:r w:rsidRPr="00983B36">
        <w:rPr>
          <w:i/>
          <w:szCs w:val="24"/>
        </w:rPr>
        <w:t>=</w:t>
      </w:r>
      <w:r>
        <w:rPr>
          <w:i/>
          <w:szCs w:val="24"/>
        </w:rPr>
        <w:tab/>
      </w:r>
      <w:r w:rsidR="00DF35C4">
        <w:rPr>
          <w:szCs w:val="24"/>
        </w:rPr>
        <w:t>Liquid limit</w:t>
      </w:r>
    </w:p>
    <w:p w:rsidR="00595105" w:rsidRPr="00983B36" w:rsidRDefault="00595105" w:rsidP="00595105">
      <w:pPr>
        <w:tabs>
          <w:tab w:val="right" w:pos="1080"/>
          <w:tab w:val="left" w:pos="1440"/>
          <w:tab w:val="left" w:pos="1800"/>
        </w:tabs>
        <w:ind w:left="1800" w:hanging="1800"/>
        <w:rPr>
          <w:szCs w:val="24"/>
        </w:rPr>
      </w:pPr>
      <w:r>
        <w:rPr>
          <w:i/>
          <w:szCs w:val="24"/>
        </w:rPr>
        <w:tab/>
      </w:r>
      <w:r w:rsidRPr="00983B36">
        <w:rPr>
          <w:i/>
          <w:szCs w:val="24"/>
        </w:rPr>
        <w:t>PI</w:t>
      </w:r>
      <w:r>
        <w:rPr>
          <w:i/>
          <w:szCs w:val="24"/>
        </w:rPr>
        <w:tab/>
      </w:r>
      <w:r w:rsidRPr="00983B36">
        <w:rPr>
          <w:i/>
          <w:szCs w:val="24"/>
        </w:rPr>
        <w:t>=</w:t>
      </w:r>
      <w:r>
        <w:rPr>
          <w:i/>
          <w:szCs w:val="24"/>
        </w:rPr>
        <w:tab/>
      </w:r>
      <w:r>
        <w:rPr>
          <w:szCs w:val="24"/>
        </w:rPr>
        <w:t>P</w:t>
      </w:r>
      <w:r w:rsidRPr="00983B36">
        <w:rPr>
          <w:szCs w:val="24"/>
        </w:rPr>
        <w:t>lasticity index</w:t>
      </w:r>
    </w:p>
    <w:p w:rsidR="008A38BC" w:rsidRDefault="008A38BC" w:rsidP="00595105"/>
    <w:p w:rsidR="00595105" w:rsidRDefault="00595105" w:rsidP="00595105">
      <w:r>
        <w:t>When working from A-2-6 and A-2-7, a partial group index is determined using only the PI.</w:t>
      </w:r>
    </w:p>
    <w:p w:rsidR="008430AB" w:rsidRDefault="008430AB">
      <w:pPr>
        <w:rPr>
          <w:rFonts w:eastAsiaTheme="majorEastAsia" w:cs="Arial"/>
          <w:szCs w:val="22"/>
        </w:rPr>
      </w:pPr>
      <w:bookmarkStart w:id="50" w:name="_Toc295918111"/>
    </w:p>
    <w:p w:rsidR="0087647C" w:rsidRDefault="00D34F2B" w:rsidP="00D34F2B">
      <w:pPr>
        <w:pStyle w:val="Heading9"/>
      </w:pPr>
      <w:r>
        <w:t>Table</w:t>
      </w:r>
      <w:r w:rsidR="00F3038B">
        <w:t xml:space="preserve"> </w:t>
      </w:r>
      <w:bookmarkStart w:id="51" w:name="t4"/>
      <w:r w:rsidR="00F3038B">
        <w:t>3-</w:t>
      </w:r>
      <w:bookmarkEnd w:id="51"/>
      <w:r w:rsidR="00CC4DEE">
        <w:t>3</w:t>
      </w:r>
      <w:r w:rsidR="0087647C">
        <w:t>.  AASHTO Soil Classification</w:t>
      </w:r>
      <w:r w:rsidR="00326944">
        <w:t>.</w:t>
      </w:r>
      <w:bookmarkEnd w:id="5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964"/>
        <w:gridCol w:w="757"/>
        <w:gridCol w:w="758"/>
        <w:gridCol w:w="650"/>
        <w:gridCol w:w="648"/>
        <w:gridCol w:w="648"/>
        <w:gridCol w:w="648"/>
        <w:gridCol w:w="648"/>
        <w:gridCol w:w="662"/>
        <w:gridCol w:w="662"/>
        <w:gridCol w:w="662"/>
        <w:gridCol w:w="869"/>
      </w:tblGrid>
      <w:tr w:rsidR="0087647C" w:rsidRPr="00DF7CE4" w:rsidTr="00A2538A">
        <w:tc>
          <w:tcPr>
            <w:tcW w:w="0" w:type="auto"/>
            <w:tcBorders>
              <w:top w:val="double" w:sz="4" w:space="0" w:color="auto"/>
              <w:left w:val="double" w:sz="4" w:space="0" w:color="auto"/>
            </w:tcBorders>
            <w:vAlign w:val="bottom"/>
          </w:tcPr>
          <w:p w:rsidR="0087647C" w:rsidRPr="00DF7CE4" w:rsidRDefault="0087647C" w:rsidP="00DF7CE4">
            <w:pPr>
              <w:adjustRightInd w:val="0"/>
              <w:jc w:val="center"/>
              <w:rPr>
                <w:spacing w:val="-2"/>
                <w:sz w:val="18"/>
                <w:szCs w:val="18"/>
              </w:rPr>
            </w:pPr>
            <w:r w:rsidRPr="00DF7CE4">
              <w:rPr>
                <w:spacing w:val="-2"/>
                <w:sz w:val="18"/>
                <w:szCs w:val="18"/>
              </w:rPr>
              <w:t>General Classification</w:t>
            </w:r>
          </w:p>
        </w:tc>
        <w:tc>
          <w:tcPr>
            <w:tcW w:w="4798" w:type="dxa"/>
            <w:gridSpan w:val="7"/>
            <w:tcBorders>
              <w:top w:val="double" w:sz="4" w:space="0" w:color="auto"/>
            </w:tcBorders>
            <w:vAlign w:val="bottom"/>
          </w:tcPr>
          <w:p w:rsidR="0087647C" w:rsidRPr="00DF7CE4" w:rsidRDefault="0087647C" w:rsidP="00DF7CE4">
            <w:pPr>
              <w:adjustRightInd w:val="0"/>
              <w:jc w:val="center"/>
              <w:rPr>
                <w:spacing w:val="-2"/>
                <w:sz w:val="18"/>
                <w:szCs w:val="18"/>
              </w:rPr>
            </w:pPr>
            <w:r w:rsidRPr="00DF7CE4">
              <w:rPr>
                <w:spacing w:val="-2"/>
                <w:sz w:val="18"/>
                <w:szCs w:val="18"/>
              </w:rPr>
              <w:t>Granular Materials (35</w:t>
            </w:r>
            <w:r w:rsidR="00583AC9">
              <w:rPr>
                <w:spacing w:val="-2"/>
                <w:sz w:val="18"/>
                <w:szCs w:val="18"/>
              </w:rPr>
              <w:t xml:space="preserve"> percent</w:t>
            </w:r>
            <w:r w:rsidRPr="00DF7CE4">
              <w:rPr>
                <w:spacing w:val="-2"/>
                <w:sz w:val="18"/>
                <w:szCs w:val="18"/>
              </w:rPr>
              <w:t xml:space="preserve"> or Less Passing No. 200)</w:t>
            </w:r>
          </w:p>
        </w:tc>
        <w:tc>
          <w:tcPr>
            <w:tcW w:w="0" w:type="auto"/>
            <w:gridSpan w:val="4"/>
            <w:tcBorders>
              <w:top w:val="double" w:sz="4" w:space="0" w:color="auto"/>
              <w:right w:val="double" w:sz="4" w:space="0" w:color="auto"/>
            </w:tcBorders>
            <w:vAlign w:val="bottom"/>
          </w:tcPr>
          <w:p w:rsidR="0087647C" w:rsidRPr="00DF7CE4" w:rsidRDefault="0087647C" w:rsidP="00DF7CE4">
            <w:pPr>
              <w:adjustRightInd w:val="0"/>
              <w:jc w:val="center"/>
              <w:rPr>
                <w:spacing w:val="-2"/>
                <w:sz w:val="18"/>
                <w:szCs w:val="18"/>
              </w:rPr>
            </w:pPr>
            <w:r w:rsidRPr="00DF7CE4">
              <w:rPr>
                <w:spacing w:val="-2"/>
                <w:sz w:val="18"/>
                <w:szCs w:val="18"/>
              </w:rPr>
              <w:t>Silt-Clay Materials (More than 35</w:t>
            </w:r>
            <w:r w:rsidR="00583AC9">
              <w:rPr>
                <w:spacing w:val="-2"/>
                <w:sz w:val="18"/>
                <w:szCs w:val="18"/>
              </w:rPr>
              <w:t xml:space="preserve"> percent</w:t>
            </w:r>
            <w:r w:rsidRPr="00DF7CE4">
              <w:rPr>
                <w:spacing w:val="-2"/>
                <w:sz w:val="18"/>
                <w:szCs w:val="18"/>
              </w:rPr>
              <w:t xml:space="preserve"> Passing No. 200)</w:t>
            </w:r>
          </w:p>
        </w:tc>
      </w:tr>
      <w:tr w:rsidR="0087647C" w:rsidRPr="00DF7CE4" w:rsidTr="00A2538A">
        <w:tc>
          <w:tcPr>
            <w:tcW w:w="0" w:type="auto"/>
            <w:vMerge w:val="restart"/>
            <w:tcBorders>
              <w:left w:val="double" w:sz="4" w:space="0" w:color="auto"/>
            </w:tcBorders>
            <w:vAlign w:val="bottom"/>
          </w:tcPr>
          <w:p w:rsidR="0087647C" w:rsidRPr="00DF7CE4" w:rsidRDefault="0087647C" w:rsidP="00DF7CE4">
            <w:pPr>
              <w:adjustRightInd w:val="0"/>
              <w:jc w:val="center"/>
              <w:rPr>
                <w:spacing w:val="-2"/>
                <w:sz w:val="18"/>
                <w:szCs w:val="18"/>
              </w:rPr>
            </w:pPr>
            <w:r w:rsidRPr="00DF7CE4">
              <w:rPr>
                <w:spacing w:val="-2"/>
                <w:sz w:val="18"/>
                <w:szCs w:val="18"/>
              </w:rPr>
              <w:t>Group Classification</w:t>
            </w:r>
          </w:p>
        </w:tc>
        <w:tc>
          <w:tcPr>
            <w:tcW w:w="0" w:type="auto"/>
            <w:gridSpan w:val="2"/>
            <w:vAlign w:val="bottom"/>
          </w:tcPr>
          <w:p w:rsidR="0087647C" w:rsidRPr="00DF7CE4" w:rsidRDefault="0087647C" w:rsidP="00DF7CE4">
            <w:pPr>
              <w:adjustRightInd w:val="0"/>
              <w:jc w:val="center"/>
              <w:rPr>
                <w:spacing w:val="-2"/>
                <w:sz w:val="18"/>
                <w:szCs w:val="18"/>
              </w:rPr>
            </w:pPr>
            <w:r w:rsidRPr="00DF7CE4">
              <w:rPr>
                <w:spacing w:val="-2"/>
                <w:sz w:val="18"/>
                <w:szCs w:val="18"/>
              </w:rPr>
              <w:t>A-1</w:t>
            </w:r>
          </w:p>
        </w:tc>
        <w:tc>
          <w:tcPr>
            <w:tcW w:w="0" w:type="auto"/>
            <w:vMerge w:val="restart"/>
            <w:vAlign w:val="bottom"/>
          </w:tcPr>
          <w:p w:rsidR="0087647C" w:rsidRPr="00DF7CE4" w:rsidRDefault="0087647C" w:rsidP="00DF7CE4">
            <w:pPr>
              <w:adjustRightInd w:val="0"/>
              <w:jc w:val="center"/>
              <w:rPr>
                <w:spacing w:val="-2"/>
                <w:sz w:val="18"/>
                <w:szCs w:val="18"/>
              </w:rPr>
            </w:pPr>
            <w:r w:rsidRPr="00DF7CE4">
              <w:rPr>
                <w:spacing w:val="-2"/>
                <w:sz w:val="18"/>
                <w:szCs w:val="18"/>
              </w:rPr>
              <w:t>A-3</w:t>
            </w:r>
          </w:p>
        </w:tc>
        <w:tc>
          <w:tcPr>
            <w:tcW w:w="2592" w:type="dxa"/>
            <w:gridSpan w:val="4"/>
            <w:vAlign w:val="bottom"/>
          </w:tcPr>
          <w:p w:rsidR="0087647C" w:rsidRPr="00DF7CE4" w:rsidRDefault="0087647C" w:rsidP="00DF7CE4">
            <w:pPr>
              <w:adjustRightInd w:val="0"/>
              <w:jc w:val="center"/>
              <w:rPr>
                <w:spacing w:val="-2"/>
                <w:sz w:val="18"/>
                <w:szCs w:val="18"/>
              </w:rPr>
            </w:pPr>
            <w:r w:rsidRPr="00DF7CE4">
              <w:rPr>
                <w:spacing w:val="-2"/>
                <w:sz w:val="18"/>
                <w:szCs w:val="18"/>
              </w:rPr>
              <w:t>A-2</w:t>
            </w:r>
          </w:p>
        </w:tc>
        <w:tc>
          <w:tcPr>
            <w:tcW w:w="0" w:type="auto"/>
            <w:vMerge w:val="restart"/>
            <w:vAlign w:val="bottom"/>
          </w:tcPr>
          <w:p w:rsidR="0087647C" w:rsidRPr="00DF7CE4" w:rsidRDefault="0087647C" w:rsidP="00DF7CE4">
            <w:pPr>
              <w:adjustRightInd w:val="0"/>
              <w:jc w:val="center"/>
              <w:rPr>
                <w:spacing w:val="-2"/>
                <w:sz w:val="18"/>
                <w:szCs w:val="18"/>
              </w:rPr>
            </w:pPr>
            <w:r w:rsidRPr="00DF7CE4">
              <w:rPr>
                <w:spacing w:val="-2"/>
                <w:sz w:val="18"/>
                <w:szCs w:val="18"/>
              </w:rPr>
              <w:t>A-4</w:t>
            </w:r>
          </w:p>
        </w:tc>
        <w:tc>
          <w:tcPr>
            <w:tcW w:w="0" w:type="auto"/>
            <w:vMerge w:val="restart"/>
            <w:vAlign w:val="bottom"/>
          </w:tcPr>
          <w:p w:rsidR="0087647C" w:rsidRPr="00DF7CE4" w:rsidRDefault="0087647C" w:rsidP="00DF7CE4">
            <w:pPr>
              <w:adjustRightInd w:val="0"/>
              <w:jc w:val="center"/>
              <w:rPr>
                <w:spacing w:val="-2"/>
                <w:sz w:val="18"/>
                <w:szCs w:val="18"/>
              </w:rPr>
            </w:pPr>
            <w:r w:rsidRPr="00DF7CE4">
              <w:rPr>
                <w:spacing w:val="-2"/>
                <w:sz w:val="18"/>
                <w:szCs w:val="18"/>
              </w:rPr>
              <w:t>A-5</w:t>
            </w:r>
          </w:p>
        </w:tc>
        <w:tc>
          <w:tcPr>
            <w:tcW w:w="0" w:type="auto"/>
            <w:vMerge w:val="restart"/>
            <w:vAlign w:val="bottom"/>
          </w:tcPr>
          <w:p w:rsidR="0087647C" w:rsidRPr="00DF7CE4" w:rsidRDefault="0087647C" w:rsidP="00DF7CE4">
            <w:pPr>
              <w:adjustRightInd w:val="0"/>
              <w:jc w:val="center"/>
              <w:rPr>
                <w:spacing w:val="-2"/>
                <w:sz w:val="18"/>
                <w:szCs w:val="18"/>
              </w:rPr>
            </w:pPr>
            <w:r w:rsidRPr="00DF7CE4">
              <w:rPr>
                <w:spacing w:val="-2"/>
                <w:sz w:val="18"/>
                <w:szCs w:val="18"/>
              </w:rPr>
              <w:t>A-6</w:t>
            </w:r>
          </w:p>
        </w:tc>
        <w:tc>
          <w:tcPr>
            <w:tcW w:w="0" w:type="auto"/>
            <w:tcBorders>
              <w:right w:val="double" w:sz="4" w:space="0" w:color="auto"/>
            </w:tcBorders>
            <w:vAlign w:val="bottom"/>
          </w:tcPr>
          <w:p w:rsidR="0087647C" w:rsidRPr="00DF7CE4" w:rsidRDefault="0087647C" w:rsidP="00DF7CE4">
            <w:pPr>
              <w:adjustRightInd w:val="0"/>
              <w:jc w:val="center"/>
              <w:rPr>
                <w:spacing w:val="-2"/>
                <w:sz w:val="18"/>
                <w:szCs w:val="18"/>
              </w:rPr>
            </w:pPr>
            <w:r w:rsidRPr="00DF7CE4">
              <w:rPr>
                <w:spacing w:val="-2"/>
                <w:sz w:val="18"/>
                <w:szCs w:val="18"/>
              </w:rPr>
              <w:t>A-7</w:t>
            </w:r>
          </w:p>
        </w:tc>
      </w:tr>
      <w:tr w:rsidR="0087647C" w:rsidRPr="00DF7CE4" w:rsidTr="00DF7CE4">
        <w:tc>
          <w:tcPr>
            <w:tcW w:w="0" w:type="auto"/>
            <w:vMerge/>
            <w:tcBorders>
              <w:left w:val="double" w:sz="4" w:space="0" w:color="auto"/>
              <w:bottom w:val="double" w:sz="4" w:space="0" w:color="auto"/>
            </w:tcBorders>
            <w:vAlign w:val="bottom"/>
          </w:tcPr>
          <w:p w:rsidR="0087647C" w:rsidRPr="00DF7CE4" w:rsidRDefault="0087647C" w:rsidP="00DF7CE4">
            <w:pPr>
              <w:adjustRightInd w:val="0"/>
              <w:jc w:val="center"/>
              <w:rPr>
                <w:spacing w:val="-2"/>
                <w:sz w:val="18"/>
                <w:szCs w:val="18"/>
              </w:rPr>
            </w:pPr>
          </w:p>
        </w:tc>
        <w:tc>
          <w:tcPr>
            <w:tcW w:w="0" w:type="auto"/>
            <w:tcBorders>
              <w:bottom w:val="double" w:sz="4" w:space="0" w:color="auto"/>
            </w:tcBorders>
            <w:vAlign w:val="bottom"/>
          </w:tcPr>
          <w:p w:rsidR="0087647C" w:rsidRPr="00DF7CE4" w:rsidRDefault="0087647C" w:rsidP="00DF7CE4">
            <w:pPr>
              <w:adjustRightInd w:val="0"/>
              <w:jc w:val="center"/>
              <w:rPr>
                <w:spacing w:val="-2"/>
                <w:sz w:val="18"/>
                <w:szCs w:val="18"/>
              </w:rPr>
            </w:pPr>
            <w:r w:rsidRPr="00DF7CE4">
              <w:rPr>
                <w:spacing w:val="-2"/>
                <w:sz w:val="18"/>
                <w:szCs w:val="18"/>
              </w:rPr>
              <w:t>A-1-a</w:t>
            </w:r>
          </w:p>
        </w:tc>
        <w:tc>
          <w:tcPr>
            <w:tcW w:w="0" w:type="auto"/>
            <w:tcBorders>
              <w:bottom w:val="double" w:sz="4" w:space="0" w:color="auto"/>
            </w:tcBorders>
            <w:vAlign w:val="bottom"/>
          </w:tcPr>
          <w:p w:rsidR="0087647C" w:rsidRPr="00DF7CE4" w:rsidRDefault="0087647C" w:rsidP="00DF7CE4">
            <w:pPr>
              <w:adjustRightInd w:val="0"/>
              <w:jc w:val="center"/>
              <w:rPr>
                <w:spacing w:val="-2"/>
                <w:sz w:val="18"/>
                <w:szCs w:val="18"/>
              </w:rPr>
            </w:pPr>
            <w:r w:rsidRPr="00DF7CE4">
              <w:rPr>
                <w:spacing w:val="-2"/>
                <w:sz w:val="18"/>
                <w:szCs w:val="18"/>
              </w:rPr>
              <w:t>A-1-b</w:t>
            </w:r>
          </w:p>
        </w:tc>
        <w:tc>
          <w:tcPr>
            <w:tcW w:w="0" w:type="auto"/>
            <w:vMerge/>
            <w:tcBorders>
              <w:bottom w:val="double" w:sz="4" w:space="0" w:color="auto"/>
            </w:tcBorders>
            <w:vAlign w:val="bottom"/>
          </w:tcPr>
          <w:p w:rsidR="0087647C" w:rsidRPr="00DF7CE4" w:rsidRDefault="0087647C" w:rsidP="00DF7CE4">
            <w:pPr>
              <w:adjustRightInd w:val="0"/>
              <w:jc w:val="center"/>
              <w:rPr>
                <w:spacing w:val="-2"/>
                <w:sz w:val="18"/>
                <w:szCs w:val="18"/>
              </w:rPr>
            </w:pPr>
          </w:p>
        </w:tc>
        <w:tc>
          <w:tcPr>
            <w:tcW w:w="648" w:type="dxa"/>
            <w:tcBorders>
              <w:bottom w:val="double" w:sz="4" w:space="0" w:color="auto"/>
            </w:tcBorders>
            <w:vAlign w:val="bottom"/>
          </w:tcPr>
          <w:p w:rsidR="0087647C" w:rsidRPr="00DF7CE4" w:rsidRDefault="0087647C" w:rsidP="00DF7CE4">
            <w:pPr>
              <w:adjustRightInd w:val="0"/>
              <w:jc w:val="center"/>
              <w:rPr>
                <w:spacing w:val="-2"/>
                <w:sz w:val="18"/>
                <w:szCs w:val="18"/>
              </w:rPr>
            </w:pPr>
            <w:r w:rsidRPr="00DF7CE4">
              <w:rPr>
                <w:spacing w:val="-2"/>
                <w:sz w:val="18"/>
                <w:szCs w:val="18"/>
              </w:rPr>
              <w:t>A-2-4</w:t>
            </w:r>
          </w:p>
        </w:tc>
        <w:tc>
          <w:tcPr>
            <w:tcW w:w="648" w:type="dxa"/>
            <w:tcBorders>
              <w:bottom w:val="double" w:sz="4" w:space="0" w:color="auto"/>
            </w:tcBorders>
            <w:vAlign w:val="bottom"/>
          </w:tcPr>
          <w:p w:rsidR="0087647C" w:rsidRPr="00DF7CE4" w:rsidRDefault="0087647C" w:rsidP="00DF7CE4">
            <w:pPr>
              <w:adjustRightInd w:val="0"/>
              <w:jc w:val="center"/>
              <w:rPr>
                <w:spacing w:val="-2"/>
                <w:sz w:val="18"/>
                <w:szCs w:val="18"/>
              </w:rPr>
            </w:pPr>
            <w:r w:rsidRPr="00DF7CE4">
              <w:rPr>
                <w:spacing w:val="-2"/>
                <w:sz w:val="18"/>
                <w:szCs w:val="18"/>
              </w:rPr>
              <w:t>A-2-5</w:t>
            </w:r>
          </w:p>
        </w:tc>
        <w:tc>
          <w:tcPr>
            <w:tcW w:w="648" w:type="dxa"/>
            <w:tcBorders>
              <w:bottom w:val="double" w:sz="4" w:space="0" w:color="auto"/>
            </w:tcBorders>
            <w:vAlign w:val="bottom"/>
          </w:tcPr>
          <w:p w:rsidR="0087647C" w:rsidRPr="00DF7CE4" w:rsidRDefault="0087647C" w:rsidP="00DF7CE4">
            <w:pPr>
              <w:adjustRightInd w:val="0"/>
              <w:jc w:val="center"/>
              <w:rPr>
                <w:spacing w:val="-2"/>
                <w:sz w:val="18"/>
                <w:szCs w:val="18"/>
              </w:rPr>
            </w:pPr>
            <w:r w:rsidRPr="00DF7CE4">
              <w:rPr>
                <w:spacing w:val="-2"/>
                <w:sz w:val="18"/>
                <w:szCs w:val="18"/>
              </w:rPr>
              <w:t>A-2-6</w:t>
            </w:r>
          </w:p>
        </w:tc>
        <w:tc>
          <w:tcPr>
            <w:tcW w:w="648" w:type="dxa"/>
            <w:tcBorders>
              <w:bottom w:val="double" w:sz="4" w:space="0" w:color="auto"/>
            </w:tcBorders>
            <w:vAlign w:val="bottom"/>
          </w:tcPr>
          <w:p w:rsidR="0087647C" w:rsidRPr="00DF7CE4" w:rsidRDefault="0087647C" w:rsidP="00DF7CE4">
            <w:pPr>
              <w:adjustRightInd w:val="0"/>
              <w:jc w:val="center"/>
              <w:rPr>
                <w:spacing w:val="-2"/>
                <w:sz w:val="18"/>
                <w:szCs w:val="18"/>
              </w:rPr>
            </w:pPr>
            <w:r w:rsidRPr="00DF7CE4">
              <w:rPr>
                <w:spacing w:val="-2"/>
                <w:sz w:val="18"/>
                <w:szCs w:val="18"/>
              </w:rPr>
              <w:t>A-2-7</w:t>
            </w:r>
          </w:p>
        </w:tc>
        <w:tc>
          <w:tcPr>
            <w:tcW w:w="0" w:type="auto"/>
            <w:vMerge/>
            <w:tcBorders>
              <w:bottom w:val="double" w:sz="4" w:space="0" w:color="auto"/>
            </w:tcBorders>
            <w:vAlign w:val="bottom"/>
          </w:tcPr>
          <w:p w:rsidR="0087647C" w:rsidRPr="00DF7CE4" w:rsidRDefault="0087647C" w:rsidP="00DF7CE4">
            <w:pPr>
              <w:adjustRightInd w:val="0"/>
              <w:jc w:val="center"/>
              <w:rPr>
                <w:spacing w:val="-2"/>
                <w:sz w:val="18"/>
                <w:szCs w:val="18"/>
              </w:rPr>
            </w:pPr>
          </w:p>
        </w:tc>
        <w:tc>
          <w:tcPr>
            <w:tcW w:w="0" w:type="auto"/>
            <w:vMerge/>
            <w:tcBorders>
              <w:bottom w:val="double" w:sz="4" w:space="0" w:color="auto"/>
            </w:tcBorders>
            <w:vAlign w:val="bottom"/>
          </w:tcPr>
          <w:p w:rsidR="0087647C" w:rsidRPr="00DF7CE4" w:rsidRDefault="0087647C" w:rsidP="00DF7CE4">
            <w:pPr>
              <w:adjustRightInd w:val="0"/>
              <w:jc w:val="center"/>
              <w:rPr>
                <w:spacing w:val="-2"/>
                <w:sz w:val="18"/>
                <w:szCs w:val="18"/>
              </w:rPr>
            </w:pPr>
          </w:p>
        </w:tc>
        <w:tc>
          <w:tcPr>
            <w:tcW w:w="0" w:type="auto"/>
            <w:vMerge/>
            <w:tcBorders>
              <w:bottom w:val="double" w:sz="4" w:space="0" w:color="auto"/>
            </w:tcBorders>
            <w:vAlign w:val="bottom"/>
          </w:tcPr>
          <w:p w:rsidR="0087647C" w:rsidRPr="00DF7CE4" w:rsidRDefault="0087647C" w:rsidP="00DF7CE4">
            <w:pPr>
              <w:adjustRightInd w:val="0"/>
              <w:jc w:val="center"/>
              <w:rPr>
                <w:spacing w:val="-2"/>
                <w:sz w:val="18"/>
                <w:szCs w:val="18"/>
              </w:rPr>
            </w:pPr>
          </w:p>
        </w:tc>
        <w:tc>
          <w:tcPr>
            <w:tcW w:w="0" w:type="auto"/>
            <w:tcBorders>
              <w:bottom w:val="double" w:sz="4" w:space="0" w:color="auto"/>
              <w:right w:val="double" w:sz="4" w:space="0" w:color="auto"/>
            </w:tcBorders>
            <w:vAlign w:val="bottom"/>
          </w:tcPr>
          <w:p w:rsidR="0087647C" w:rsidRPr="00DF7CE4" w:rsidRDefault="0087647C" w:rsidP="00DF7CE4">
            <w:pPr>
              <w:adjustRightInd w:val="0"/>
              <w:jc w:val="center"/>
              <w:rPr>
                <w:spacing w:val="-2"/>
                <w:sz w:val="18"/>
                <w:szCs w:val="18"/>
              </w:rPr>
            </w:pPr>
            <w:r w:rsidRPr="00DF7CE4">
              <w:rPr>
                <w:spacing w:val="-2"/>
                <w:sz w:val="18"/>
                <w:szCs w:val="18"/>
              </w:rPr>
              <w:t>A-7-5, A-7-6</w:t>
            </w:r>
          </w:p>
        </w:tc>
      </w:tr>
      <w:tr w:rsidR="0087647C" w:rsidRPr="00DF7CE4" w:rsidTr="00A2538A">
        <w:tc>
          <w:tcPr>
            <w:tcW w:w="0" w:type="auto"/>
            <w:tcBorders>
              <w:top w:val="double" w:sz="4" w:space="0" w:color="auto"/>
              <w:left w:val="double" w:sz="4" w:space="0" w:color="auto"/>
            </w:tcBorders>
            <w:vAlign w:val="center"/>
          </w:tcPr>
          <w:p w:rsidR="0087647C" w:rsidRPr="00DF7CE4" w:rsidRDefault="0087647C" w:rsidP="00A2538A">
            <w:pPr>
              <w:adjustRightInd w:val="0"/>
              <w:rPr>
                <w:spacing w:val="-2"/>
                <w:sz w:val="18"/>
                <w:szCs w:val="18"/>
              </w:rPr>
            </w:pPr>
            <w:r w:rsidRPr="00DF7CE4">
              <w:rPr>
                <w:spacing w:val="-2"/>
                <w:sz w:val="18"/>
                <w:szCs w:val="18"/>
              </w:rPr>
              <w:t>Sieve Analysis, percent passing</w:t>
            </w:r>
          </w:p>
        </w:tc>
        <w:tc>
          <w:tcPr>
            <w:tcW w:w="0" w:type="auto"/>
            <w:tcBorders>
              <w:top w:val="double" w:sz="4" w:space="0" w:color="auto"/>
            </w:tcBorders>
            <w:vAlign w:val="center"/>
          </w:tcPr>
          <w:p w:rsidR="0087647C" w:rsidRPr="00DF7CE4" w:rsidRDefault="0087647C" w:rsidP="00A2538A">
            <w:pPr>
              <w:adjustRightInd w:val="0"/>
              <w:jc w:val="center"/>
              <w:rPr>
                <w:spacing w:val="-2"/>
                <w:sz w:val="18"/>
                <w:szCs w:val="18"/>
              </w:rPr>
            </w:pPr>
          </w:p>
        </w:tc>
        <w:tc>
          <w:tcPr>
            <w:tcW w:w="0" w:type="auto"/>
            <w:tcBorders>
              <w:top w:val="double" w:sz="4" w:space="0" w:color="auto"/>
            </w:tcBorders>
            <w:vAlign w:val="center"/>
          </w:tcPr>
          <w:p w:rsidR="0087647C" w:rsidRPr="00DF7CE4" w:rsidRDefault="0087647C" w:rsidP="00A2538A">
            <w:pPr>
              <w:adjustRightInd w:val="0"/>
              <w:jc w:val="center"/>
              <w:rPr>
                <w:spacing w:val="-2"/>
                <w:sz w:val="18"/>
                <w:szCs w:val="18"/>
              </w:rPr>
            </w:pPr>
          </w:p>
        </w:tc>
        <w:tc>
          <w:tcPr>
            <w:tcW w:w="0" w:type="auto"/>
            <w:tcBorders>
              <w:top w:val="double" w:sz="4" w:space="0" w:color="auto"/>
            </w:tcBorders>
            <w:vAlign w:val="center"/>
          </w:tcPr>
          <w:p w:rsidR="0087647C" w:rsidRPr="00DF7CE4" w:rsidRDefault="0087647C" w:rsidP="00A2538A">
            <w:pPr>
              <w:adjustRightInd w:val="0"/>
              <w:jc w:val="center"/>
              <w:rPr>
                <w:spacing w:val="-2"/>
                <w:sz w:val="18"/>
                <w:szCs w:val="18"/>
              </w:rPr>
            </w:pPr>
          </w:p>
        </w:tc>
        <w:tc>
          <w:tcPr>
            <w:tcW w:w="648" w:type="dxa"/>
            <w:tcBorders>
              <w:top w:val="double" w:sz="4" w:space="0" w:color="auto"/>
            </w:tcBorders>
            <w:vAlign w:val="center"/>
          </w:tcPr>
          <w:p w:rsidR="0087647C" w:rsidRPr="00DF7CE4" w:rsidRDefault="0087647C" w:rsidP="00A2538A">
            <w:pPr>
              <w:adjustRightInd w:val="0"/>
              <w:jc w:val="center"/>
              <w:rPr>
                <w:spacing w:val="-2"/>
                <w:sz w:val="18"/>
                <w:szCs w:val="18"/>
              </w:rPr>
            </w:pPr>
          </w:p>
        </w:tc>
        <w:tc>
          <w:tcPr>
            <w:tcW w:w="648" w:type="dxa"/>
            <w:tcBorders>
              <w:top w:val="double" w:sz="4" w:space="0" w:color="auto"/>
            </w:tcBorders>
            <w:vAlign w:val="center"/>
          </w:tcPr>
          <w:p w:rsidR="0087647C" w:rsidRPr="00DF7CE4" w:rsidRDefault="0087647C" w:rsidP="00A2538A">
            <w:pPr>
              <w:adjustRightInd w:val="0"/>
              <w:jc w:val="center"/>
              <w:rPr>
                <w:spacing w:val="-2"/>
                <w:sz w:val="18"/>
                <w:szCs w:val="18"/>
              </w:rPr>
            </w:pPr>
          </w:p>
        </w:tc>
        <w:tc>
          <w:tcPr>
            <w:tcW w:w="648" w:type="dxa"/>
            <w:tcBorders>
              <w:top w:val="double" w:sz="4" w:space="0" w:color="auto"/>
            </w:tcBorders>
            <w:vAlign w:val="center"/>
          </w:tcPr>
          <w:p w:rsidR="0087647C" w:rsidRPr="00DF7CE4" w:rsidRDefault="0087647C" w:rsidP="00A2538A">
            <w:pPr>
              <w:adjustRightInd w:val="0"/>
              <w:jc w:val="center"/>
              <w:rPr>
                <w:spacing w:val="-2"/>
                <w:sz w:val="18"/>
                <w:szCs w:val="18"/>
              </w:rPr>
            </w:pPr>
          </w:p>
        </w:tc>
        <w:tc>
          <w:tcPr>
            <w:tcW w:w="648" w:type="dxa"/>
            <w:tcBorders>
              <w:top w:val="double" w:sz="4" w:space="0" w:color="auto"/>
            </w:tcBorders>
            <w:vAlign w:val="center"/>
          </w:tcPr>
          <w:p w:rsidR="0087647C" w:rsidRPr="00DF7CE4" w:rsidRDefault="0087647C" w:rsidP="00A2538A">
            <w:pPr>
              <w:adjustRightInd w:val="0"/>
              <w:jc w:val="center"/>
              <w:rPr>
                <w:spacing w:val="-2"/>
                <w:sz w:val="18"/>
                <w:szCs w:val="18"/>
              </w:rPr>
            </w:pPr>
          </w:p>
        </w:tc>
        <w:tc>
          <w:tcPr>
            <w:tcW w:w="0" w:type="auto"/>
            <w:tcBorders>
              <w:top w:val="double" w:sz="4" w:space="0" w:color="auto"/>
            </w:tcBorders>
            <w:vAlign w:val="center"/>
          </w:tcPr>
          <w:p w:rsidR="0087647C" w:rsidRPr="00DF7CE4" w:rsidRDefault="0087647C" w:rsidP="00A2538A">
            <w:pPr>
              <w:adjustRightInd w:val="0"/>
              <w:jc w:val="center"/>
              <w:rPr>
                <w:spacing w:val="-2"/>
                <w:sz w:val="18"/>
                <w:szCs w:val="18"/>
              </w:rPr>
            </w:pPr>
          </w:p>
        </w:tc>
        <w:tc>
          <w:tcPr>
            <w:tcW w:w="0" w:type="auto"/>
            <w:tcBorders>
              <w:top w:val="double" w:sz="4" w:space="0" w:color="auto"/>
            </w:tcBorders>
            <w:vAlign w:val="center"/>
          </w:tcPr>
          <w:p w:rsidR="0087647C" w:rsidRPr="00DF7CE4" w:rsidRDefault="0087647C" w:rsidP="00A2538A">
            <w:pPr>
              <w:adjustRightInd w:val="0"/>
              <w:jc w:val="center"/>
              <w:rPr>
                <w:spacing w:val="-2"/>
                <w:sz w:val="18"/>
                <w:szCs w:val="18"/>
              </w:rPr>
            </w:pPr>
          </w:p>
        </w:tc>
        <w:tc>
          <w:tcPr>
            <w:tcW w:w="0" w:type="auto"/>
            <w:tcBorders>
              <w:top w:val="double" w:sz="4" w:space="0" w:color="auto"/>
            </w:tcBorders>
            <w:vAlign w:val="center"/>
          </w:tcPr>
          <w:p w:rsidR="0087647C" w:rsidRPr="00DF7CE4" w:rsidRDefault="0087647C" w:rsidP="00A2538A">
            <w:pPr>
              <w:adjustRightInd w:val="0"/>
              <w:jc w:val="center"/>
              <w:rPr>
                <w:spacing w:val="-2"/>
                <w:sz w:val="18"/>
                <w:szCs w:val="18"/>
              </w:rPr>
            </w:pPr>
          </w:p>
        </w:tc>
        <w:tc>
          <w:tcPr>
            <w:tcW w:w="0" w:type="auto"/>
            <w:tcBorders>
              <w:top w:val="double" w:sz="4" w:space="0" w:color="auto"/>
              <w:right w:val="double" w:sz="4" w:space="0" w:color="auto"/>
            </w:tcBorders>
            <w:vAlign w:val="center"/>
          </w:tcPr>
          <w:p w:rsidR="0087647C" w:rsidRPr="00DF7CE4" w:rsidRDefault="0087647C" w:rsidP="00A2538A">
            <w:pPr>
              <w:adjustRightInd w:val="0"/>
              <w:jc w:val="center"/>
              <w:rPr>
                <w:spacing w:val="-2"/>
                <w:sz w:val="18"/>
                <w:szCs w:val="18"/>
              </w:rPr>
            </w:pPr>
          </w:p>
        </w:tc>
      </w:tr>
      <w:tr w:rsidR="00A2538A" w:rsidRPr="00DF7CE4" w:rsidTr="00A2538A">
        <w:tc>
          <w:tcPr>
            <w:tcW w:w="0" w:type="auto"/>
            <w:tcBorders>
              <w:left w:val="double" w:sz="4" w:space="0" w:color="auto"/>
            </w:tcBorders>
            <w:vAlign w:val="center"/>
          </w:tcPr>
          <w:p w:rsidR="00A2538A" w:rsidRPr="00DF7CE4" w:rsidRDefault="00A2538A" w:rsidP="00A2538A">
            <w:pPr>
              <w:adjustRightInd w:val="0"/>
              <w:rPr>
                <w:spacing w:val="-2"/>
                <w:sz w:val="18"/>
                <w:szCs w:val="18"/>
              </w:rPr>
            </w:pPr>
            <w:r w:rsidRPr="00DF7CE4">
              <w:rPr>
                <w:spacing w:val="-2"/>
                <w:sz w:val="18"/>
                <w:szCs w:val="18"/>
              </w:rPr>
              <w:t>No. 10</w:t>
            </w:r>
          </w:p>
        </w:tc>
        <w:tc>
          <w:tcPr>
            <w:tcW w:w="0" w:type="auto"/>
            <w:vAlign w:val="center"/>
          </w:tcPr>
          <w:p w:rsidR="00A2538A" w:rsidRPr="00DF7CE4" w:rsidRDefault="00A2538A" w:rsidP="00A2538A">
            <w:pPr>
              <w:adjustRightInd w:val="0"/>
              <w:jc w:val="center"/>
              <w:rPr>
                <w:spacing w:val="-2"/>
                <w:sz w:val="18"/>
                <w:szCs w:val="18"/>
              </w:rPr>
            </w:pPr>
            <w:r w:rsidRPr="00DF7CE4">
              <w:rPr>
                <w:spacing w:val="-2"/>
                <w:sz w:val="18"/>
                <w:szCs w:val="18"/>
              </w:rPr>
              <w:t>50 max</w:t>
            </w:r>
          </w:p>
        </w:tc>
        <w:tc>
          <w:tcPr>
            <w:tcW w:w="0" w:type="auto"/>
            <w:vAlign w:val="center"/>
          </w:tcPr>
          <w:p w:rsidR="00A2538A" w:rsidRPr="00DF7CE4" w:rsidRDefault="00A2538A" w:rsidP="00A2538A">
            <w:pPr>
              <w:adjustRightInd w:val="0"/>
              <w:jc w:val="center"/>
              <w:rPr>
                <w:spacing w:val="-2"/>
                <w:sz w:val="18"/>
                <w:szCs w:val="18"/>
              </w:rPr>
            </w:pPr>
            <w:r>
              <w:rPr>
                <w:spacing w:val="-2"/>
                <w:sz w:val="18"/>
                <w:szCs w:val="18"/>
              </w:rPr>
              <w:t>–</w:t>
            </w:r>
          </w:p>
        </w:tc>
        <w:tc>
          <w:tcPr>
            <w:tcW w:w="0" w:type="auto"/>
            <w:vAlign w:val="center"/>
          </w:tcPr>
          <w:p w:rsidR="00A2538A" w:rsidRPr="00DF7CE4" w:rsidRDefault="00A2538A" w:rsidP="00A2538A">
            <w:pPr>
              <w:adjustRightInd w:val="0"/>
              <w:jc w:val="center"/>
              <w:rPr>
                <w:spacing w:val="-2"/>
                <w:sz w:val="18"/>
                <w:szCs w:val="18"/>
              </w:rPr>
            </w:pPr>
            <w:r>
              <w:rPr>
                <w:spacing w:val="-2"/>
                <w:sz w:val="18"/>
                <w:szCs w:val="18"/>
              </w:rPr>
              <w:t>–</w:t>
            </w:r>
          </w:p>
        </w:tc>
        <w:tc>
          <w:tcPr>
            <w:tcW w:w="648" w:type="dxa"/>
            <w:vAlign w:val="center"/>
          </w:tcPr>
          <w:p w:rsidR="00A2538A" w:rsidRPr="00DF7CE4" w:rsidRDefault="00A2538A" w:rsidP="005E11F5">
            <w:pPr>
              <w:adjustRightInd w:val="0"/>
              <w:jc w:val="center"/>
              <w:rPr>
                <w:spacing w:val="-2"/>
                <w:sz w:val="18"/>
                <w:szCs w:val="18"/>
              </w:rPr>
            </w:pPr>
            <w:r>
              <w:rPr>
                <w:spacing w:val="-2"/>
                <w:sz w:val="18"/>
                <w:szCs w:val="18"/>
              </w:rPr>
              <w:t>–</w:t>
            </w:r>
          </w:p>
        </w:tc>
        <w:tc>
          <w:tcPr>
            <w:tcW w:w="648" w:type="dxa"/>
            <w:vAlign w:val="center"/>
          </w:tcPr>
          <w:p w:rsidR="00A2538A" w:rsidRPr="00DF7CE4" w:rsidRDefault="00A2538A" w:rsidP="005E11F5">
            <w:pPr>
              <w:adjustRightInd w:val="0"/>
              <w:jc w:val="center"/>
              <w:rPr>
                <w:spacing w:val="-2"/>
                <w:sz w:val="18"/>
                <w:szCs w:val="18"/>
              </w:rPr>
            </w:pPr>
            <w:r>
              <w:rPr>
                <w:spacing w:val="-2"/>
                <w:sz w:val="18"/>
                <w:szCs w:val="18"/>
              </w:rPr>
              <w:t>–</w:t>
            </w:r>
          </w:p>
        </w:tc>
        <w:tc>
          <w:tcPr>
            <w:tcW w:w="648" w:type="dxa"/>
            <w:vAlign w:val="center"/>
          </w:tcPr>
          <w:p w:rsidR="00A2538A" w:rsidRPr="00DF7CE4" w:rsidRDefault="00A2538A" w:rsidP="005E11F5">
            <w:pPr>
              <w:adjustRightInd w:val="0"/>
              <w:jc w:val="center"/>
              <w:rPr>
                <w:spacing w:val="-2"/>
                <w:sz w:val="18"/>
                <w:szCs w:val="18"/>
              </w:rPr>
            </w:pPr>
            <w:r>
              <w:rPr>
                <w:spacing w:val="-2"/>
                <w:sz w:val="18"/>
                <w:szCs w:val="18"/>
              </w:rPr>
              <w:t>–</w:t>
            </w:r>
          </w:p>
        </w:tc>
        <w:tc>
          <w:tcPr>
            <w:tcW w:w="648" w:type="dxa"/>
            <w:vAlign w:val="center"/>
          </w:tcPr>
          <w:p w:rsidR="00A2538A" w:rsidRPr="00DF7CE4" w:rsidRDefault="00A2538A" w:rsidP="005E11F5">
            <w:pPr>
              <w:adjustRightInd w:val="0"/>
              <w:jc w:val="center"/>
              <w:rPr>
                <w:spacing w:val="-2"/>
                <w:sz w:val="18"/>
                <w:szCs w:val="18"/>
              </w:rPr>
            </w:pPr>
            <w:r>
              <w:rPr>
                <w:spacing w:val="-2"/>
                <w:sz w:val="18"/>
                <w:szCs w:val="18"/>
              </w:rPr>
              <w:t>–</w:t>
            </w:r>
          </w:p>
        </w:tc>
        <w:tc>
          <w:tcPr>
            <w:tcW w:w="0" w:type="auto"/>
            <w:vAlign w:val="center"/>
          </w:tcPr>
          <w:p w:rsidR="00A2538A" w:rsidRPr="00DF7CE4" w:rsidRDefault="00A2538A" w:rsidP="005E11F5">
            <w:pPr>
              <w:adjustRightInd w:val="0"/>
              <w:jc w:val="center"/>
              <w:rPr>
                <w:spacing w:val="-2"/>
                <w:sz w:val="18"/>
                <w:szCs w:val="18"/>
              </w:rPr>
            </w:pPr>
            <w:r>
              <w:rPr>
                <w:spacing w:val="-2"/>
                <w:sz w:val="18"/>
                <w:szCs w:val="18"/>
              </w:rPr>
              <w:t>–</w:t>
            </w:r>
          </w:p>
        </w:tc>
        <w:tc>
          <w:tcPr>
            <w:tcW w:w="0" w:type="auto"/>
            <w:vAlign w:val="center"/>
          </w:tcPr>
          <w:p w:rsidR="00A2538A" w:rsidRPr="00DF7CE4" w:rsidRDefault="00A2538A" w:rsidP="005E11F5">
            <w:pPr>
              <w:adjustRightInd w:val="0"/>
              <w:jc w:val="center"/>
              <w:rPr>
                <w:spacing w:val="-2"/>
                <w:sz w:val="18"/>
                <w:szCs w:val="18"/>
              </w:rPr>
            </w:pPr>
            <w:r>
              <w:rPr>
                <w:spacing w:val="-2"/>
                <w:sz w:val="18"/>
                <w:szCs w:val="18"/>
              </w:rPr>
              <w:t>–</w:t>
            </w:r>
          </w:p>
        </w:tc>
        <w:tc>
          <w:tcPr>
            <w:tcW w:w="0" w:type="auto"/>
            <w:vAlign w:val="center"/>
          </w:tcPr>
          <w:p w:rsidR="00A2538A" w:rsidRPr="00DF7CE4" w:rsidRDefault="00A2538A" w:rsidP="005E11F5">
            <w:pPr>
              <w:adjustRightInd w:val="0"/>
              <w:jc w:val="center"/>
              <w:rPr>
                <w:spacing w:val="-2"/>
                <w:sz w:val="18"/>
                <w:szCs w:val="18"/>
              </w:rPr>
            </w:pPr>
            <w:r>
              <w:rPr>
                <w:spacing w:val="-2"/>
                <w:sz w:val="18"/>
                <w:szCs w:val="18"/>
              </w:rPr>
              <w:t>–</w:t>
            </w:r>
          </w:p>
        </w:tc>
        <w:tc>
          <w:tcPr>
            <w:tcW w:w="0" w:type="auto"/>
            <w:tcBorders>
              <w:right w:val="double" w:sz="4" w:space="0" w:color="auto"/>
            </w:tcBorders>
            <w:vAlign w:val="center"/>
          </w:tcPr>
          <w:p w:rsidR="00A2538A" w:rsidRPr="00DF7CE4" w:rsidRDefault="00A2538A" w:rsidP="005E11F5">
            <w:pPr>
              <w:adjustRightInd w:val="0"/>
              <w:jc w:val="center"/>
              <w:rPr>
                <w:spacing w:val="-2"/>
                <w:sz w:val="18"/>
                <w:szCs w:val="18"/>
              </w:rPr>
            </w:pPr>
            <w:r>
              <w:rPr>
                <w:spacing w:val="-2"/>
                <w:sz w:val="18"/>
                <w:szCs w:val="18"/>
              </w:rPr>
              <w:t>–</w:t>
            </w:r>
          </w:p>
        </w:tc>
      </w:tr>
      <w:tr w:rsidR="00A2538A" w:rsidRPr="00DF7CE4" w:rsidTr="00A2538A">
        <w:tc>
          <w:tcPr>
            <w:tcW w:w="0" w:type="auto"/>
            <w:tcBorders>
              <w:left w:val="double" w:sz="4" w:space="0" w:color="auto"/>
            </w:tcBorders>
            <w:vAlign w:val="center"/>
          </w:tcPr>
          <w:p w:rsidR="00A2538A" w:rsidRPr="00DF7CE4" w:rsidRDefault="00A2538A" w:rsidP="00A2538A">
            <w:pPr>
              <w:adjustRightInd w:val="0"/>
              <w:rPr>
                <w:spacing w:val="-2"/>
                <w:sz w:val="18"/>
                <w:szCs w:val="18"/>
              </w:rPr>
            </w:pPr>
            <w:r w:rsidRPr="00DF7CE4">
              <w:rPr>
                <w:spacing w:val="-2"/>
                <w:sz w:val="18"/>
                <w:szCs w:val="18"/>
              </w:rPr>
              <w:t>No. 40</w:t>
            </w:r>
          </w:p>
        </w:tc>
        <w:tc>
          <w:tcPr>
            <w:tcW w:w="0" w:type="auto"/>
            <w:vAlign w:val="center"/>
          </w:tcPr>
          <w:p w:rsidR="00A2538A" w:rsidRPr="00DF7CE4" w:rsidRDefault="00A2538A" w:rsidP="00A2538A">
            <w:pPr>
              <w:adjustRightInd w:val="0"/>
              <w:jc w:val="center"/>
              <w:rPr>
                <w:spacing w:val="-2"/>
                <w:sz w:val="18"/>
                <w:szCs w:val="18"/>
              </w:rPr>
            </w:pPr>
            <w:r w:rsidRPr="00DF7CE4">
              <w:rPr>
                <w:spacing w:val="-2"/>
                <w:sz w:val="18"/>
                <w:szCs w:val="18"/>
              </w:rPr>
              <w:t>30 max</w:t>
            </w:r>
          </w:p>
        </w:tc>
        <w:tc>
          <w:tcPr>
            <w:tcW w:w="0" w:type="auto"/>
            <w:vAlign w:val="center"/>
          </w:tcPr>
          <w:p w:rsidR="00A2538A" w:rsidRPr="00DF7CE4" w:rsidRDefault="00A2538A" w:rsidP="00A2538A">
            <w:pPr>
              <w:adjustRightInd w:val="0"/>
              <w:jc w:val="center"/>
              <w:rPr>
                <w:spacing w:val="-2"/>
                <w:sz w:val="18"/>
                <w:szCs w:val="18"/>
              </w:rPr>
            </w:pPr>
            <w:r w:rsidRPr="00DF7CE4">
              <w:rPr>
                <w:spacing w:val="-2"/>
                <w:sz w:val="18"/>
                <w:szCs w:val="18"/>
              </w:rPr>
              <w:t>50 max</w:t>
            </w:r>
          </w:p>
        </w:tc>
        <w:tc>
          <w:tcPr>
            <w:tcW w:w="0" w:type="auto"/>
            <w:vAlign w:val="center"/>
          </w:tcPr>
          <w:p w:rsidR="00A2538A" w:rsidRPr="00DF7CE4" w:rsidRDefault="00A2538A" w:rsidP="00A2538A">
            <w:pPr>
              <w:adjustRightInd w:val="0"/>
              <w:jc w:val="center"/>
              <w:rPr>
                <w:spacing w:val="-2"/>
                <w:sz w:val="18"/>
                <w:szCs w:val="18"/>
              </w:rPr>
            </w:pPr>
            <w:r w:rsidRPr="00DF7CE4">
              <w:rPr>
                <w:spacing w:val="-2"/>
                <w:sz w:val="18"/>
                <w:szCs w:val="18"/>
              </w:rPr>
              <w:t>51 min</w:t>
            </w:r>
          </w:p>
        </w:tc>
        <w:tc>
          <w:tcPr>
            <w:tcW w:w="648" w:type="dxa"/>
            <w:vAlign w:val="center"/>
          </w:tcPr>
          <w:p w:rsidR="00A2538A" w:rsidRPr="00DF7CE4" w:rsidRDefault="00A2538A" w:rsidP="005E11F5">
            <w:pPr>
              <w:adjustRightInd w:val="0"/>
              <w:jc w:val="center"/>
              <w:rPr>
                <w:spacing w:val="-2"/>
                <w:sz w:val="18"/>
                <w:szCs w:val="18"/>
              </w:rPr>
            </w:pPr>
            <w:r>
              <w:rPr>
                <w:spacing w:val="-2"/>
                <w:sz w:val="18"/>
                <w:szCs w:val="18"/>
              </w:rPr>
              <w:t>–</w:t>
            </w:r>
          </w:p>
        </w:tc>
        <w:tc>
          <w:tcPr>
            <w:tcW w:w="648" w:type="dxa"/>
            <w:vAlign w:val="center"/>
          </w:tcPr>
          <w:p w:rsidR="00A2538A" w:rsidRPr="00DF7CE4" w:rsidRDefault="00A2538A" w:rsidP="005E11F5">
            <w:pPr>
              <w:adjustRightInd w:val="0"/>
              <w:jc w:val="center"/>
              <w:rPr>
                <w:spacing w:val="-2"/>
                <w:sz w:val="18"/>
                <w:szCs w:val="18"/>
              </w:rPr>
            </w:pPr>
            <w:r>
              <w:rPr>
                <w:spacing w:val="-2"/>
                <w:sz w:val="18"/>
                <w:szCs w:val="18"/>
              </w:rPr>
              <w:t>–</w:t>
            </w:r>
          </w:p>
        </w:tc>
        <w:tc>
          <w:tcPr>
            <w:tcW w:w="648" w:type="dxa"/>
            <w:vAlign w:val="center"/>
          </w:tcPr>
          <w:p w:rsidR="00A2538A" w:rsidRPr="00DF7CE4" w:rsidRDefault="00A2538A" w:rsidP="005E11F5">
            <w:pPr>
              <w:adjustRightInd w:val="0"/>
              <w:jc w:val="center"/>
              <w:rPr>
                <w:spacing w:val="-2"/>
                <w:sz w:val="18"/>
                <w:szCs w:val="18"/>
              </w:rPr>
            </w:pPr>
            <w:r>
              <w:rPr>
                <w:spacing w:val="-2"/>
                <w:sz w:val="18"/>
                <w:szCs w:val="18"/>
              </w:rPr>
              <w:t>–</w:t>
            </w:r>
          </w:p>
        </w:tc>
        <w:tc>
          <w:tcPr>
            <w:tcW w:w="648" w:type="dxa"/>
            <w:vAlign w:val="center"/>
          </w:tcPr>
          <w:p w:rsidR="00A2538A" w:rsidRPr="00DF7CE4" w:rsidRDefault="00A2538A" w:rsidP="005E11F5">
            <w:pPr>
              <w:adjustRightInd w:val="0"/>
              <w:jc w:val="center"/>
              <w:rPr>
                <w:spacing w:val="-2"/>
                <w:sz w:val="18"/>
                <w:szCs w:val="18"/>
              </w:rPr>
            </w:pPr>
            <w:r>
              <w:rPr>
                <w:spacing w:val="-2"/>
                <w:sz w:val="18"/>
                <w:szCs w:val="18"/>
              </w:rPr>
              <w:t>–</w:t>
            </w:r>
          </w:p>
        </w:tc>
        <w:tc>
          <w:tcPr>
            <w:tcW w:w="0" w:type="auto"/>
            <w:vAlign w:val="center"/>
          </w:tcPr>
          <w:p w:rsidR="00A2538A" w:rsidRPr="00DF7CE4" w:rsidRDefault="00A2538A" w:rsidP="005E11F5">
            <w:pPr>
              <w:adjustRightInd w:val="0"/>
              <w:jc w:val="center"/>
              <w:rPr>
                <w:spacing w:val="-2"/>
                <w:sz w:val="18"/>
                <w:szCs w:val="18"/>
              </w:rPr>
            </w:pPr>
            <w:r>
              <w:rPr>
                <w:spacing w:val="-2"/>
                <w:sz w:val="18"/>
                <w:szCs w:val="18"/>
              </w:rPr>
              <w:t>–</w:t>
            </w:r>
          </w:p>
        </w:tc>
        <w:tc>
          <w:tcPr>
            <w:tcW w:w="0" w:type="auto"/>
            <w:vAlign w:val="center"/>
          </w:tcPr>
          <w:p w:rsidR="00A2538A" w:rsidRPr="00DF7CE4" w:rsidRDefault="00A2538A" w:rsidP="005E11F5">
            <w:pPr>
              <w:adjustRightInd w:val="0"/>
              <w:jc w:val="center"/>
              <w:rPr>
                <w:spacing w:val="-2"/>
                <w:sz w:val="18"/>
                <w:szCs w:val="18"/>
              </w:rPr>
            </w:pPr>
            <w:r>
              <w:rPr>
                <w:spacing w:val="-2"/>
                <w:sz w:val="18"/>
                <w:szCs w:val="18"/>
              </w:rPr>
              <w:t>–</w:t>
            </w:r>
          </w:p>
        </w:tc>
        <w:tc>
          <w:tcPr>
            <w:tcW w:w="0" w:type="auto"/>
            <w:vAlign w:val="center"/>
          </w:tcPr>
          <w:p w:rsidR="00A2538A" w:rsidRPr="00DF7CE4" w:rsidRDefault="00A2538A" w:rsidP="005E11F5">
            <w:pPr>
              <w:adjustRightInd w:val="0"/>
              <w:jc w:val="center"/>
              <w:rPr>
                <w:spacing w:val="-2"/>
                <w:sz w:val="18"/>
                <w:szCs w:val="18"/>
              </w:rPr>
            </w:pPr>
            <w:r>
              <w:rPr>
                <w:spacing w:val="-2"/>
                <w:sz w:val="18"/>
                <w:szCs w:val="18"/>
              </w:rPr>
              <w:t>–</w:t>
            </w:r>
          </w:p>
        </w:tc>
        <w:tc>
          <w:tcPr>
            <w:tcW w:w="0" w:type="auto"/>
            <w:tcBorders>
              <w:right w:val="double" w:sz="4" w:space="0" w:color="auto"/>
            </w:tcBorders>
            <w:vAlign w:val="center"/>
          </w:tcPr>
          <w:p w:rsidR="00A2538A" w:rsidRPr="00DF7CE4" w:rsidRDefault="00A2538A" w:rsidP="005E11F5">
            <w:pPr>
              <w:adjustRightInd w:val="0"/>
              <w:jc w:val="center"/>
              <w:rPr>
                <w:spacing w:val="-2"/>
                <w:sz w:val="18"/>
                <w:szCs w:val="18"/>
              </w:rPr>
            </w:pPr>
            <w:r>
              <w:rPr>
                <w:spacing w:val="-2"/>
                <w:sz w:val="18"/>
                <w:szCs w:val="18"/>
              </w:rPr>
              <w:t>–</w:t>
            </w:r>
          </w:p>
        </w:tc>
      </w:tr>
      <w:tr w:rsidR="0087647C" w:rsidRPr="00DF7CE4" w:rsidTr="00A2538A">
        <w:tc>
          <w:tcPr>
            <w:tcW w:w="0" w:type="auto"/>
            <w:tcBorders>
              <w:left w:val="double" w:sz="4" w:space="0" w:color="auto"/>
            </w:tcBorders>
            <w:vAlign w:val="center"/>
          </w:tcPr>
          <w:p w:rsidR="0087647C" w:rsidRPr="00DF7CE4" w:rsidRDefault="0087647C" w:rsidP="00A2538A">
            <w:pPr>
              <w:adjustRightInd w:val="0"/>
              <w:rPr>
                <w:spacing w:val="-2"/>
                <w:sz w:val="18"/>
                <w:szCs w:val="18"/>
              </w:rPr>
            </w:pPr>
            <w:r w:rsidRPr="00DF7CE4">
              <w:rPr>
                <w:spacing w:val="-2"/>
                <w:sz w:val="18"/>
                <w:szCs w:val="18"/>
              </w:rPr>
              <w:t>No. 200</w:t>
            </w:r>
          </w:p>
        </w:tc>
        <w:tc>
          <w:tcPr>
            <w:tcW w:w="0" w:type="auto"/>
            <w:vAlign w:val="center"/>
          </w:tcPr>
          <w:p w:rsidR="0087647C" w:rsidRPr="00DF7CE4" w:rsidRDefault="0087647C" w:rsidP="00A2538A">
            <w:pPr>
              <w:adjustRightInd w:val="0"/>
              <w:jc w:val="center"/>
              <w:rPr>
                <w:spacing w:val="-2"/>
                <w:sz w:val="18"/>
                <w:szCs w:val="18"/>
              </w:rPr>
            </w:pPr>
            <w:r w:rsidRPr="00DF7CE4">
              <w:rPr>
                <w:spacing w:val="-2"/>
                <w:sz w:val="18"/>
                <w:szCs w:val="18"/>
              </w:rPr>
              <w:t>15 max</w:t>
            </w:r>
          </w:p>
        </w:tc>
        <w:tc>
          <w:tcPr>
            <w:tcW w:w="0" w:type="auto"/>
            <w:vAlign w:val="center"/>
          </w:tcPr>
          <w:p w:rsidR="0087647C" w:rsidRPr="00DF7CE4" w:rsidRDefault="0087647C" w:rsidP="00A2538A">
            <w:pPr>
              <w:adjustRightInd w:val="0"/>
              <w:jc w:val="center"/>
              <w:rPr>
                <w:spacing w:val="-2"/>
                <w:sz w:val="18"/>
                <w:szCs w:val="18"/>
              </w:rPr>
            </w:pPr>
            <w:r w:rsidRPr="00DF7CE4">
              <w:rPr>
                <w:spacing w:val="-2"/>
                <w:sz w:val="18"/>
                <w:szCs w:val="18"/>
              </w:rPr>
              <w:t>25 max</w:t>
            </w:r>
          </w:p>
        </w:tc>
        <w:tc>
          <w:tcPr>
            <w:tcW w:w="0" w:type="auto"/>
            <w:vAlign w:val="center"/>
          </w:tcPr>
          <w:p w:rsidR="0087647C" w:rsidRPr="00DF7CE4" w:rsidRDefault="0087647C" w:rsidP="00A2538A">
            <w:pPr>
              <w:adjustRightInd w:val="0"/>
              <w:jc w:val="center"/>
              <w:rPr>
                <w:spacing w:val="-2"/>
                <w:sz w:val="18"/>
                <w:szCs w:val="18"/>
              </w:rPr>
            </w:pPr>
            <w:r w:rsidRPr="00DF7CE4">
              <w:rPr>
                <w:spacing w:val="-2"/>
                <w:sz w:val="18"/>
                <w:szCs w:val="18"/>
              </w:rPr>
              <w:t>10 max</w:t>
            </w:r>
          </w:p>
        </w:tc>
        <w:tc>
          <w:tcPr>
            <w:tcW w:w="648" w:type="dxa"/>
            <w:vAlign w:val="center"/>
          </w:tcPr>
          <w:p w:rsidR="0087647C" w:rsidRPr="00DF7CE4" w:rsidRDefault="0087647C" w:rsidP="00A2538A">
            <w:pPr>
              <w:adjustRightInd w:val="0"/>
              <w:jc w:val="center"/>
              <w:rPr>
                <w:spacing w:val="-2"/>
                <w:sz w:val="18"/>
                <w:szCs w:val="18"/>
              </w:rPr>
            </w:pPr>
            <w:r w:rsidRPr="00DF7CE4">
              <w:rPr>
                <w:spacing w:val="-2"/>
                <w:sz w:val="18"/>
                <w:szCs w:val="18"/>
              </w:rPr>
              <w:t>35 max</w:t>
            </w:r>
          </w:p>
        </w:tc>
        <w:tc>
          <w:tcPr>
            <w:tcW w:w="648" w:type="dxa"/>
            <w:vAlign w:val="center"/>
          </w:tcPr>
          <w:p w:rsidR="0087647C" w:rsidRPr="00DF7CE4" w:rsidRDefault="0087647C" w:rsidP="00A2538A">
            <w:pPr>
              <w:adjustRightInd w:val="0"/>
              <w:jc w:val="center"/>
              <w:rPr>
                <w:spacing w:val="-2"/>
                <w:sz w:val="18"/>
                <w:szCs w:val="18"/>
              </w:rPr>
            </w:pPr>
            <w:r w:rsidRPr="00DF7CE4">
              <w:rPr>
                <w:spacing w:val="-2"/>
                <w:sz w:val="18"/>
                <w:szCs w:val="18"/>
              </w:rPr>
              <w:t>35 max</w:t>
            </w:r>
          </w:p>
        </w:tc>
        <w:tc>
          <w:tcPr>
            <w:tcW w:w="648" w:type="dxa"/>
            <w:vAlign w:val="center"/>
          </w:tcPr>
          <w:p w:rsidR="0087647C" w:rsidRPr="00DF7CE4" w:rsidRDefault="0087647C" w:rsidP="00A2538A">
            <w:pPr>
              <w:adjustRightInd w:val="0"/>
              <w:jc w:val="center"/>
              <w:rPr>
                <w:spacing w:val="-2"/>
                <w:sz w:val="18"/>
                <w:szCs w:val="18"/>
              </w:rPr>
            </w:pPr>
            <w:r w:rsidRPr="00DF7CE4">
              <w:rPr>
                <w:spacing w:val="-2"/>
                <w:sz w:val="18"/>
                <w:szCs w:val="18"/>
              </w:rPr>
              <w:t>35 max</w:t>
            </w:r>
          </w:p>
        </w:tc>
        <w:tc>
          <w:tcPr>
            <w:tcW w:w="648" w:type="dxa"/>
            <w:vAlign w:val="center"/>
          </w:tcPr>
          <w:p w:rsidR="0087647C" w:rsidRPr="00DF7CE4" w:rsidRDefault="0087647C" w:rsidP="00A2538A">
            <w:pPr>
              <w:adjustRightInd w:val="0"/>
              <w:jc w:val="center"/>
              <w:rPr>
                <w:spacing w:val="-2"/>
                <w:sz w:val="18"/>
                <w:szCs w:val="18"/>
              </w:rPr>
            </w:pPr>
            <w:r w:rsidRPr="00DF7CE4">
              <w:rPr>
                <w:spacing w:val="-2"/>
                <w:sz w:val="18"/>
                <w:szCs w:val="18"/>
              </w:rPr>
              <w:t>35 max</w:t>
            </w:r>
          </w:p>
        </w:tc>
        <w:tc>
          <w:tcPr>
            <w:tcW w:w="0" w:type="auto"/>
            <w:vAlign w:val="center"/>
          </w:tcPr>
          <w:p w:rsidR="0087647C" w:rsidRPr="00DF7CE4" w:rsidRDefault="0087647C" w:rsidP="00A2538A">
            <w:pPr>
              <w:adjustRightInd w:val="0"/>
              <w:jc w:val="center"/>
              <w:rPr>
                <w:spacing w:val="-2"/>
                <w:sz w:val="18"/>
                <w:szCs w:val="18"/>
              </w:rPr>
            </w:pPr>
            <w:r w:rsidRPr="00DF7CE4">
              <w:rPr>
                <w:spacing w:val="-2"/>
                <w:sz w:val="18"/>
                <w:szCs w:val="18"/>
              </w:rPr>
              <w:t>36 min</w:t>
            </w:r>
          </w:p>
        </w:tc>
        <w:tc>
          <w:tcPr>
            <w:tcW w:w="0" w:type="auto"/>
            <w:vAlign w:val="center"/>
          </w:tcPr>
          <w:p w:rsidR="0087647C" w:rsidRPr="00DF7CE4" w:rsidRDefault="0087647C" w:rsidP="00A2538A">
            <w:pPr>
              <w:adjustRightInd w:val="0"/>
              <w:jc w:val="center"/>
              <w:rPr>
                <w:spacing w:val="-2"/>
                <w:sz w:val="18"/>
                <w:szCs w:val="18"/>
              </w:rPr>
            </w:pPr>
            <w:r w:rsidRPr="00DF7CE4">
              <w:rPr>
                <w:spacing w:val="-2"/>
                <w:sz w:val="18"/>
                <w:szCs w:val="18"/>
              </w:rPr>
              <w:t>36 min</w:t>
            </w:r>
          </w:p>
        </w:tc>
        <w:tc>
          <w:tcPr>
            <w:tcW w:w="0" w:type="auto"/>
            <w:vAlign w:val="center"/>
          </w:tcPr>
          <w:p w:rsidR="0087647C" w:rsidRPr="00DF7CE4" w:rsidRDefault="0087647C" w:rsidP="00A2538A">
            <w:pPr>
              <w:adjustRightInd w:val="0"/>
              <w:jc w:val="center"/>
              <w:rPr>
                <w:spacing w:val="-2"/>
                <w:sz w:val="18"/>
                <w:szCs w:val="18"/>
              </w:rPr>
            </w:pPr>
            <w:r w:rsidRPr="00DF7CE4">
              <w:rPr>
                <w:spacing w:val="-2"/>
                <w:sz w:val="18"/>
                <w:szCs w:val="18"/>
              </w:rPr>
              <w:t>36 min</w:t>
            </w:r>
          </w:p>
        </w:tc>
        <w:tc>
          <w:tcPr>
            <w:tcW w:w="0" w:type="auto"/>
            <w:tcBorders>
              <w:right w:val="double" w:sz="4" w:space="0" w:color="auto"/>
            </w:tcBorders>
            <w:vAlign w:val="center"/>
          </w:tcPr>
          <w:p w:rsidR="0087647C" w:rsidRPr="00DF7CE4" w:rsidRDefault="0087647C" w:rsidP="00A2538A">
            <w:pPr>
              <w:adjustRightInd w:val="0"/>
              <w:jc w:val="center"/>
              <w:rPr>
                <w:spacing w:val="-2"/>
                <w:sz w:val="18"/>
                <w:szCs w:val="18"/>
              </w:rPr>
            </w:pPr>
            <w:r w:rsidRPr="00DF7CE4">
              <w:rPr>
                <w:spacing w:val="-2"/>
                <w:sz w:val="18"/>
                <w:szCs w:val="18"/>
              </w:rPr>
              <w:t>36 min</w:t>
            </w:r>
          </w:p>
        </w:tc>
      </w:tr>
      <w:tr w:rsidR="0087647C" w:rsidRPr="00DF7CE4" w:rsidTr="00A2538A">
        <w:tc>
          <w:tcPr>
            <w:tcW w:w="0" w:type="auto"/>
            <w:tcBorders>
              <w:left w:val="double" w:sz="4" w:space="0" w:color="auto"/>
            </w:tcBorders>
            <w:vAlign w:val="center"/>
          </w:tcPr>
          <w:p w:rsidR="0087647C" w:rsidRPr="00DF7CE4" w:rsidRDefault="0087647C" w:rsidP="00A2538A">
            <w:pPr>
              <w:adjustRightInd w:val="0"/>
              <w:rPr>
                <w:spacing w:val="-2"/>
                <w:sz w:val="18"/>
                <w:szCs w:val="18"/>
              </w:rPr>
            </w:pPr>
            <w:r w:rsidRPr="00DF7CE4">
              <w:rPr>
                <w:spacing w:val="-2"/>
                <w:sz w:val="18"/>
                <w:szCs w:val="18"/>
              </w:rPr>
              <w:t>Characteristics of fraction passing No. 40:</w:t>
            </w:r>
          </w:p>
        </w:tc>
        <w:tc>
          <w:tcPr>
            <w:tcW w:w="0" w:type="auto"/>
            <w:vAlign w:val="center"/>
          </w:tcPr>
          <w:p w:rsidR="0087647C" w:rsidRPr="00DF7CE4" w:rsidRDefault="0087647C" w:rsidP="00A2538A">
            <w:pPr>
              <w:adjustRightInd w:val="0"/>
              <w:jc w:val="center"/>
              <w:rPr>
                <w:spacing w:val="-2"/>
                <w:sz w:val="18"/>
                <w:szCs w:val="18"/>
              </w:rPr>
            </w:pPr>
          </w:p>
        </w:tc>
        <w:tc>
          <w:tcPr>
            <w:tcW w:w="0" w:type="auto"/>
            <w:vAlign w:val="center"/>
          </w:tcPr>
          <w:p w:rsidR="0087647C" w:rsidRPr="00DF7CE4" w:rsidRDefault="0087647C" w:rsidP="00A2538A">
            <w:pPr>
              <w:adjustRightInd w:val="0"/>
              <w:jc w:val="center"/>
              <w:rPr>
                <w:spacing w:val="-2"/>
                <w:sz w:val="18"/>
                <w:szCs w:val="18"/>
              </w:rPr>
            </w:pPr>
          </w:p>
        </w:tc>
        <w:tc>
          <w:tcPr>
            <w:tcW w:w="0" w:type="auto"/>
            <w:vAlign w:val="center"/>
          </w:tcPr>
          <w:p w:rsidR="0087647C" w:rsidRPr="00DF7CE4" w:rsidRDefault="0087647C" w:rsidP="00A2538A">
            <w:pPr>
              <w:adjustRightInd w:val="0"/>
              <w:jc w:val="center"/>
              <w:rPr>
                <w:spacing w:val="-2"/>
                <w:sz w:val="18"/>
                <w:szCs w:val="18"/>
              </w:rPr>
            </w:pPr>
          </w:p>
        </w:tc>
        <w:tc>
          <w:tcPr>
            <w:tcW w:w="648" w:type="dxa"/>
            <w:vAlign w:val="center"/>
          </w:tcPr>
          <w:p w:rsidR="0087647C" w:rsidRPr="00DF7CE4" w:rsidRDefault="0087647C" w:rsidP="00A2538A">
            <w:pPr>
              <w:adjustRightInd w:val="0"/>
              <w:jc w:val="center"/>
              <w:rPr>
                <w:spacing w:val="-2"/>
                <w:sz w:val="18"/>
                <w:szCs w:val="18"/>
              </w:rPr>
            </w:pPr>
          </w:p>
        </w:tc>
        <w:tc>
          <w:tcPr>
            <w:tcW w:w="648" w:type="dxa"/>
            <w:vAlign w:val="center"/>
          </w:tcPr>
          <w:p w:rsidR="0087647C" w:rsidRPr="00DF7CE4" w:rsidRDefault="0087647C" w:rsidP="00A2538A">
            <w:pPr>
              <w:adjustRightInd w:val="0"/>
              <w:jc w:val="center"/>
              <w:rPr>
                <w:spacing w:val="-2"/>
                <w:sz w:val="18"/>
                <w:szCs w:val="18"/>
              </w:rPr>
            </w:pPr>
          </w:p>
        </w:tc>
        <w:tc>
          <w:tcPr>
            <w:tcW w:w="648" w:type="dxa"/>
            <w:vAlign w:val="center"/>
          </w:tcPr>
          <w:p w:rsidR="0087647C" w:rsidRPr="00DF7CE4" w:rsidRDefault="0087647C" w:rsidP="00A2538A">
            <w:pPr>
              <w:adjustRightInd w:val="0"/>
              <w:jc w:val="center"/>
              <w:rPr>
                <w:spacing w:val="-2"/>
                <w:sz w:val="18"/>
                <w:szCs w:val="18"/>
              </w:rPr>
            </w:pPr>
          </w:p>
        </w:tc>
        <w:tc>
          <w:tcPr>
            <w:tcW w:w="648" w:type="dxa"/>
            <w:vAlign w:val="center"/>
          </w:tcPr>
          <w:p w:rsidR="0087647C" w:rsidRPr="00DF7CE4" w:rsidRDefault="0087647C" w:rsidP="00A2538A">
            <w:pPr>
              <w:adjustRightInd w:val="0"/>
              <w:jc w:val="center"/>
              <w:rPr>
                <w:spacing w:val="-2"/>
                <w:sz w:val="18"/>
                <w:szCs w:val="18"/>
              </w:rPr>
            </w:pPr>
          </w:p>
        </w:tc>
        <w:tc>
          <w:tcPr>
            <w:tcW w:w="0" w:type="auto"/>
            <w:vAlign w:val="center"/>
          </w:tcPr>
          <w:p w:rsidR="0087647C" w:rsidRPr="00DF7CE4" w:rsidRDefault="0087647C" w:rsidP="00A2538A">
            <w:pPr>
              <w:adjustRightInd w:val="0"/>
              <w:jc w:val="center"/>
              <w:rPr>
                <w:spacing w:val="-2"/>
                <w:sz w:val="18"/>
                <w:szCs w:val="18"/>
              </w:rPr>
            </w:pPr>
          </w:p>
        </w:tc>
        <w:tc>
          <w:tcPr>
            <w:tcW w:w="0" w:type="auto"/>
            <w:vAlign w:val="center"/>
          </w:tcPr>
          <w:p w:rsidR="0087647C" w:rsidRPr="00DF7CE4" w:rsidRDefault="0087647C" w:rsidP="00A2538A">
            <w:pPr>
              <w:adjustRightInd w:val="0"/>
              <w:jc w:val="center"/>
              <w:rPr>
                <w:spacing w:val="-2"/>
                <w:sz w:val="18"/>
                <w:szCs w:val="18"/>
              </w:rPr>
            </w:pPr>
          </w:p>
        </w:tc>
        <w:tc>
          <w:tcPr>
            <w:tcW w:w="0" w:type="auto"/>
            <w:vAlign w:val="center"/>
          </w:tcPr>
          <w:p w:rsidR="0087647C" w:rsidRPr="00DF7CE4" w:rsidRDefault="0087647C" w:rsidP="00A2538A">
            <w:pPr>
              <w:adjustRightInd w:val="0"/>
              <w:jc w:val="center"/>
              <w:rPr>
                <w:spacing w:val="-2"/>
                <w:sz w:val="18"/>
                <w:szCs w:val="18"/>
              </w:rPr>
            </w:pPr>
          </w:p>
        </w:tc>
        <w:tc>
          <w:tcPr>
            <w:tcW w:w="0" w:type="auto"/>
            <w:tcBorders>
              <w:right w:val="double" w:sz="4" w:space="0" w:color="auto"/>
            </w:tcBorders>
            <w:vAlign w:val="center"/>
          </w:tcPr>
          <w:p w:rsidR="0087647C" w:rsidRPr="00DF7CE4" w:rsidRDefault="0087647C" w:rsidP="00A2538A">
            <w:pPr>
              <w:adjustRightInd w:val="0"/>
              <w:jc w:val="center"/>
              <w:rPr>
                <w:spacing w:val="-2"/>
                <w:sz w:val="18"/>
                <w:szCs w:val="18"/>
              </w:rPr>
            </w:pPr>
          </w:p>
        </w:tc>
      </w:tr>
      <w:tr w:rsidR="0087647C" w:rsidRPr="00DF7CE4" w:rsidTr="00A2538A">
        <w:tc>
          <w:tcPr>
            <w:tcW w:w="0" w:type="auto"/>
            <w:tcBorders>
              <w:left w:val="double" w:sz="4" w:space="0" w:color="auto"/>
            </w:tcBorders>
            <w:vAlign w:val="center"/>
          </w:tcPr>
          <w:p w:rsidR="0087647C" w:rsidRPr="00DF7CE4" w:rsidRDefault="0087647C" w:rsidP="00A2538A">
            <w:pPr>
              <w:adjustRightInd w:val="0"/>
              <w:rPr>
                <w:spacing w:val="-2"/>
                <w:sz w:val="18"/>
                <w:szCs w:val="18"/>
              </w:rPr>
            </w:pPr>
            <w:r w:rsidRPr="00DF7CE4">
              <w:rPr>
                <w:spacing w:val="-2"/>
                <w:sz w:val="18"/>
                <w:szCs w:val="18"/>
              </w:rPr>
              <w:t>Liquid Limit</w:t>
            </w:r>
          </w:p>
        </w:tc>
        <w:tc>
          <w:tcPr>
            <w:tcW w:w="0" w:type="auto"/>
            <w:gridSpan w:val="2"/>
            <w:vAlign w:val="center"/>
          </w:tcPr>
          <w:p w:rsidR="0087647C" w:rsidRPr="00DF7CE4" w:rsidRDefault="00A2538A" w:rsidP="00A2538A">
            <w:pPr>
              <w:adjustRightInd w:val="0"/>
              <w:jc w:val="center"/>
              <w:rPr>
                <w:spacing w:val="-2"/>
                <w:sz w:val="18"/>
                <w:szCs w:val="18"/>
              </w:rPr>
            </w:pPr>
            <w:r>
              <w:rPr>
                <w:spacing w:val="-2"/>
                <w:sz w:val="18"/>
                <w:szCs w:val="18"/>
              </w:rPr>
              <w:t>–</w:t>
            </w:r>
          </w:p>
        </w:tc>
        <w:tc>
          <w:tcPr>
            <w:tcW w:w="0" w:type="auto"/>
            <w:vAlign w:val="center"/>
          </w:tcPr>
          <w:p w:rsidR="0087647C" w:rsidRPr="00DF7CE4" w:rsidRDefault="00A2538A" w:rsidP="00A2538A">
            <w:pPr>
              <w:adjustRightInd w:val="0"/>
              <w:jc w:val="center"/>
              <w:rPr>
                <w:spacing w:val="-2"/>
                <w:sz w:val="18"/>
                <w:szCs w:val="18"/>
              </w:rPr>
            </w:pPr>
            <w:r>
              <w:rPr>
                <w:spacing w:val="-2"/>
                <w:sz w:val="18"/>
                <w:szCs w:val="18"/>
              </w:rPr>
              <w:t>–</w:t>
            </w:r>
          </w:p>
        </w:tc>
        <w:tc>
          <w:tcPr>
            <w:tcW w:w="648" w:type="dxa"/>
            <w:vAlign w:val="center"/>
          </w:tcPr>
          <w:p w:rsidR="0087647C" w:rsidRPr="00DF7CE4" w:rsidRDefault="0087647C" w:rsidP="00A2538A">
            <w:pPr>
              <w:adjustRightInd w:val="0"/>
              <w:jc w:val="center"/>
              <w:rPr>
                <w:spacing w:val="-2"/>
                <w:sz w:val="18"/>
                <w:szCs w:val="18"/>
              </w:rPr>
            </w:pPr>
            <w:r w:rsidRPr="00DF7CE4">
              <w:rPr>
                <w:spacing w:val="-2"/>
                <w:sz w:val="18"/>
                <w:szCs w:val="18"/>
              </w:rPr>
              <w:t>40 max</w:t>
            </w:r>
          </w:p>
        </w:tc>
        <w:tc>
          <w:tcPr>
            <w:tcW w:w="648" w:type="dxa"/>
            <w:vAlign w:val="center"/>
          </w:tcPr>
          <w:p w:rsidR="0087647C" w:rsidRPr="00DF7CE4" w:rsidRDefault="0087647C" w:rsidP="00A2538A">
            <w:pPr>
              <w:adjustRightInd w:val="0"/>
              <w:jc w:val="center"/>
              <w:rPr>
                <w:spacing w:val="-2"/>
                <w:sz w:val="18"/>
                <w:szCs w:val="18"/>
              </w:rPr>
            </w:pPr>
            <w:r w:rsidRPr="00DF7CE4">
              <w:rPr>
                <w:spacing w:val="-2"/>
                <w:sz w:val="18"/>
                <w:szCs w:val="18"/>
              </w:rPr>
              <w:t>41 min</w:t>
            </w:r>
          </w:p>
        </w:tc>
        <w:tc>
          <w:tcPr>
            <w:tcW w:w="648" w:type="dxa"/>
            <w:vAlign w:val="center"/>
          </w:tcPr>
          <w:p w:rsidR="0087647C" w:rsidRPr="00DF7CE4" w:rsidRDefault="0087647C" w:rsidP="00A2538A">
            <w:pPr>
              <w:adjustRightInd w:val="0"/>
              <w:jc w:val="center"/>
              <w:rPr>
                <w:spacing w:val="-2"/>
                <w:sz w:val="18"/>
                <w:szCs w:val="18"/>
              </w:rPr>
            </w:pPr>
            <w:r w:rsidRPr="00DF7CE4">
              <w:rPr>
                <w:spacing w:val="-2"/>
                <w:sz w:val="18"/>
                <w:szCs w:val="18"/>
              </w:rPr>
              <w:t>40 max</w:t>
            </w:r>
          </w:p>
        </w:tc>
        <w:tc>
          <w:tcPr>
            <w:tcW w:w="648" w:type="dxa"/>
            <w:vAlign w:val="center"/>
          </w:tcPr>
          <w:p w:rsidR="0087647C" w:rsidRPr="00DF7CE4" w:rsidRDefault="0087647C" w:rsidP="00A2538A">
            <w:pPr>
              <w:adjustRightInd w:val="0"/>
              <w:jc w:val="center"/>
              <w:rPr>
                <w:spacing w:val="-2"/>
                <w:sz w:val="18"/>
                <w:szCs w:val="18"/>
              </w:rPr>
            </w:pPr>
            <w:r w:rsidRPr="00DF7CE4">
              <w:rPr>
                <w:spacing w:val="-2"/>
                <w:sz w:val="18"/>
                <w:szCs w:val="18"/>
              </w:rPr>
              <w:t>41 min</w:t>
            </w:r>
          </w:p>
        </w:tc>
        <w:tc>
          <w:tcPr>
            <w:tcW w:w="0" w:type="auto"/>
            <w:vAlign w:val="center"/>
          </w:tcPr>
          <w:p w:rsidR="0087647C" w:rsidRPr="00DF7CE4" w:rsidRDefault="0087647C" w:rsidP="00A2538A">
            <w:pPr>
              <w:adjustRightInd w:val="0"/>
              <w:jc w:val="center"/>
              <w:rPr>
                <w:spacing w:val="-2"/>
                <w:sz w:val="18"/>
                <w:szCs w:val="18"/>
              </w:rPr>
            </w:pPr>
            <w:r w:rsidRPr="00DF7CE4">
              <w:rPr>
                <w:spacing w:val="-2"/>
                <w:sz w:val="18"/>
                <w:szCs w:val="18"/>
              </w:rPr>
              <w:t>40 max</w:t>
            </w:r>
          </w:p>
        </w:tc>
        <w:tc>
          <w:tcPr>
            <w:tcW w:w="0" w:type="auto"/>
            <w:vAlign w:val="center"/>
          </w:tcPr>
          <w:p w:rsidR="0087647C" w:rsidRPr="00DF7CE4" w:rsidRDefault="0087647C" w:rsidP="00A2538A">
            <w:pPr>
              <w:adjustRightInd w:val="0"/>
              <w:jc w:val="center"/>
              <w:rPr>
                <w:spacing w:val="-2"/>
                <w:sz w:val="18"/>
                <w:szCs w:val="18"/>
              </w:rPr>
            </w:pPr>
            <w:r w:rsidRPr="00DF7CE4">
              <w:rPr>
                <w:spacing w:val="-2"/>
                <w:sz w:val="18"/>
                <w:szCs w:val="18"/>
              </w:rPr>
              <w:t>41 min</w:t>
            </w:r>
          </w:p>
        </w:tc>
        <w:tc>
          <w:tcPr>
            <w:tcW w:w="0" w:type="auto"/>
            <w:vAlign w:val="center"/>
          </w:tcPr>
          <w:p w:rsidR="0087647C" w:rsidRPr="00DF7CE4" w:rsidRDefault="0087647C" w:rsidP="00A2538A">
            <w:pPr>
              <w:adjustRightInd w:val="0"/>
              <w:jc w:val="center"/>
              <w:rPr>
                <w:spacing w:val="-2"/>
                <w:sz w:val="18"/>
                <w:szCs w:val="18"/>
              </w:rPr>
            </w:pPr>
            <w:r w:rsidRPr="00DF7CE4">
              <w:rPr>
                <w:spacing w:val="-2"/>
                <w:sz w:val="18"/>
                <w:szCs w:val="18"/>
              </w:rPr>
              <w:t>40 max</w:t>
            </w:r>
          </w:p>
        </w:tc>
        <w:tc>
          <w:tcPr>
            <w:tcW w:w="0" w:type="auto"/>
            <w:tcBorders>
              <w:right w:val="double" w:sz="4" w:space="0" w:color="auto"/>
            </w:tcBorders>
            <w:vAlign w:val="center"/>
          </w:tcPr>
          <w:p w:rsidR="0087647C" w:rsidRPr="00DF7CE4" w:rsidRDefault="0087647C" w:rsidP="00A2538A">
            <w:pPr>
              <w:adjustRightInd w:val="0"/>
              <w:jc w:val="center"/>
              <w:rPr>
                <w:spacing w:val="-2"/>
                <w:sz w:val="18"/>
                <w:szCs w:val="18"/>
              </w:rPr>
            </w:pPr>
            <w:r w:rsidRPr="00DF7CE4">
              <w:rPr>
                <w:spacing w:val="-2"/>
                <w:sz w:val="18"/>
                <w:szCs w:val="18"/>
              </w:rPr>
              <w:t>41 min</w:t>
            </w:r>
          </w:p>
        </w:tc>
      </w:tr>
      <w:tr w:rsidR="0087647C" w:rsidRPr="00DF7CE4" w:rsidTr="00A2538A">
        <w:tc>
          <w:tcPr>
            <w:tcW w:w="0" w:type="auto"/>
            <w:tcBorders>
              <w:left w:val="double" w:sz="4" w:space="0" w:color="auto"/>
            </w:tcBorders>
            <w:vAlign w:val="center"/>
          </w:tcPr>
          <w:p w:rsidR="0087647C" w:rsidRPr="00DF7CE4" w:rsidRDefault="0087647C" w:rsidP="00A2538A">
            <w:pPr>
              <w:adjustRightInd w:val="0"/>
              <w:rPr>
                <w:spacing w:val="-2"/>
                <w:sz w:val="18"/>
                <w:szCs w:val="18"/>
              </w:rPr>
            </w:pPr>
            <w:r w:rsidRPr="00DF7CE4">
              <w:rPr>
                <w:spacing w:val="-2"/>
                <w:sz w:val="18"/>
                <w:szCs w:val="18"/>
              </w:rPr>
              <w:t>Plasticity Index</w:t>
            </w:r>
          </w:p>
        </w:tc>
        <w:tc>
          <w:tcPr>
            <w:tcW w:w="0" w:type="auto"/>
            <w:gridSpan w:val="2"/>
            <w:vAlign w:val="center"/>
          </w:tcPr>
          <w:p w:rsidR="0087647C" w:rsidRPr="00DF7CE4" w:rsidRDefault="0087647C" w:rsidP="00A2538A">
            <w:pPr>
              <w:adjustRightInd w:val="0"/>
              <w:jc w:val="center"/>
              <w:rPr>
                <w:spacing w:val="-2"/>
                <w:sz w:val="18"/>
                <w:szCs w:val="18"/>
              </w:rPr>
            </w:pPr>
            <w:r w:rsidRPr="00DF7CE4">
              <w:rPr>
                <w:spacing w:val="-2"/>
                <w:sz w:val="18"/>
                <w:szCs w:val="18"/>
              </w:rPr>
              <w:t>6 max</w:t>
            </w:r>
          </w:p>
        </w:tc>
        <w:tc>
          <w:tcPr>
            <w:tcW w:w="0" w:type="auto"/>
            <w:vAlign w:val="center"/>
          </w:tcPr>
          <w:p w:rsidR="0087647C" w:rsidRPr="00DF7CE4" w:rsidRDefault="0087647C" w:rsidP="00A2538A">
            <w:pPr>
              <w:adjustRightInd w:val="0"/>
              <w:jc w:val="center"/>
              <w:rPr>
                <w:spacing w:val="-2"/>
                <w:sz w:val="18"/>
                <w:szCs w:val="18"/>
              </w:rPr>
            </w:pPr>
            <w:r w:rsidRPr="00DF7CE4">
              <w:rPr>
                <w:spacing w:val="-2"/>
                <w:sz w:val="18"/>
                <w:szCs w:val="18"/>
              </w:rPr>
              <w:t>NP</w:t>
            </w:r>
          </w:p>
        </w:tc>
        <w:tc>
          <w:tcPr>
            <w:tcW w:w="648" w:type="dxa"/>
            <w:vAlign w:val="center"/>
          </w:tcPr>
          <w:p w:rsidR="0087647C" w:rsidRPr="00DF7CE4" w:rsidRDefault="0087647C" w:rsidP="00A2538A">
            <w:pPr>
              <w:adjustRightInd w:val="0"/>
              <w:jc w:val="center"/>
              <w:rPr>
                <w:spacing w:val="-2"/>
                <w:sz w:val="18"/>
                <w:szCs w:val="18"/>
              </w:rPr>
            </w:pPr>
            <w:r w:rsidRPr="00DF7CE4">
              <w:rPr>
                <w:spacing w:val="-2"/>
                <w:sz w:val="18"/>
                <w:szCs w:val="18"/>
              </w:rPr>
              <w:t>10 max</w:t>
            </w:r>
          </w:p>
        </w:tc>
        <w:tc>
          <w:tcPr>
            <w:tcW w:w="648" w:type="dxa"/>
            <w:vAlign w:val="center"/>
          </w:tcPr>
          <w:p w:rsidR="0087647C" w:rsidRPr="00DF7CE4" w:rsidRDefault="0087647C" w:rsidP="00A2538A">
            <w:pPr>
              <w:adjustRightInd w:val="0"/>
              <w:jc w:val="center"/>
              <w:rPr>
                <w:spacing w:val="-2"/>
                <w:sz w:val="18"/>
                <w:szCs w:val="18"/>
              </w:rPr>
            </w:pPr>
            <w:r w:rsidRPr="00DF7CE4">
              <w:rPr>
                <w:spacing w:val="-2"/>
                <w:sz w:val="18"/>
                <w:szCs w:val="18"/>
              </w:rPr>
              <w:t>10 max</w:t>
            </w:r>
          </w:p>
        </w:tc>
        <w:tc>
          <w:tcPr>
            <w:tcW w:w="648" w:type="dxa"/>
            <w:vAlign w:val="center"/>
          </w:tcPr>
          <w:p w:rsidR="0087647C" w:rsidRPr="00DF7CE4" w:rsidRDefault="0087647C" w:rsidP="00A2538A">
            <w:pPr>
              <w:adjustRightInd w:val="0"/>
              <w:jc w:val="center"/>
              <w:rPr>
                <w:spacing w:val="-2"/>
                <w:sz w:val="18"/>
                <w:szCs w:val="18"/>
              </w:rPr>
            </w:pPr>
            <w:r w:rsidRPr="00DF7CE4">
              <w:rPr>
                <w:spacing w:val="-2"/>
                <w:sz w:val="18"/>
                <w:szCs w:val="18"/>
              </w:rPr>
              <w:t>11 min</w:t>
            </w:r>
          </w:p>
        </w:tc>
        <w:tc>
          <w:tcPr>
            <w:tcW w:w="648" w:type="dxa"/>
            <w:vAlign w:val="center"/>
          </w:tcPr>
          <w:p w:rsidR="0087647C" w:rsidRPr="00DF7CE4" w:rsidRDefault="0087647C" w:rsidP="00A2538A">
            <w:pPr>
              <w:adjustRightInd w:val="0"/>
              <w:jc w:val="center"/>
              <w:rPr>
                <w:spacing w:val="-2"/>
                <w:sz w:val="18"/>
                <w:szCs w:val="18"/>
              </w:rPr>
            </w:pPr>
            <w:r w:rsidRPr="00DF7CE4">
              <w:rPr>
                <w:spacing w:val="-2"/>
                <w:sz w:val="18"/>
                <w:szCs w:val="18"/>
              </w:rPr>
              <w:t>11 min</w:t>
            </w:r>
          </w:p>
        </w:tc>
        <w:tc>
          <w:tcPr>
            <w:tcW w:w="0" w:type="auto"/>
            <w:vAlign w:val="center"/>
          </w:tcPr>
          <w:p w:rsidR="0087647C" w:rsidRPr="00DF7CE4" w:rsidRDefault="0087647C" w:rsidP="00A2538A">
            <w:pPr>
              <w:adjustRightInd w:val="0"/>
              <w:jc w:val="center"/>
              <w:rPr>
                <w:spacing w:val="-2"/>
                <w:sz w:val="18"/>
                <w:szCs w:val="18"/>
              </w:rPr>
            </w:pPr>
            <w:r w:rsidRPr="00DF7CE4">
              <w:rPr>
                <w:spacing w:val="-2"/>
                <w:sz w:val="18"/>
                <w:szCs w:val="18"/>
              </w:rPr>
              <w:t>10 max</w:t>
            </w:r>
          </w:p>
        </w:tc>
        <w:tc>
          <w:tcPr>
            <w:tcW w:w="0" w:type="auto"/>
            <w:vAlign w:val="center"/>
          </w:tcPr>
          <w:p w:rsidR="0087647C" w:rsidRPr="00DF7CE4" w:rsidRDefault="0087647C" w:rsidP="00A2538A">
            <w:pPr>
              <w:adjustRightInd w:val="0"/>
              <w:jc w:val="center"/>
              <w:rPr>
                <w:spacing w:val="-2"/>
                <w:sz w:val="18"/>
                <w:szCs w:val="18"/>
              </w:rPr>
            </w:pPr>
            <w:r w:rsidRPr="00DF7CE4">
              <w:rPr>
                <w:spacing w:val="-2"/>
                <w:sz w:val="18"/>
                <w:szCs w:val="18"/>
              </w:rPr>
              <w:t>10 max</w:t>
            </w:r>
          </w:p>
        </w:tc>
        <w:tc>
          <w:tcPr>
            <w:tcW w:w="0" w:type="auto"/>
            <w:vAlign w:val="center"/>
          </w:tcPr>
          <w:p w:rsidR="0087647C" w:rsidRPr="00DF7CE4" w:rsidRDefault="0087647C" w:rsidP="00A2538A">
            <w:pPr>
              <w:adjustRightInd w:val="0"/>
              <w:jc w:val="center"/>
              <w:rPr>
                <w:spacing w:val="-2"/>
                <w:sz w:val="18"/>
                <w:szCs w:val="18"/>
              </w:rPr>
            </w:pPr>
            <w:r w:rsidRPr="00DF7CE4">
              <w:rPr>
                <w:spacing w:val="-2"/>
                <w:sz w:val="18"/>
                <w:szCs w:val="18"/>
              </w:rPr>
              <w:t>11 min</w:t>
            </w:r>
          </w:p>
        </w:tc>
        <w:tc>
          <w:tcPr>
            <w:tcW w:w="0" w:type="auto"/>
            <w:tcBorders>
              <w:right w:val="double" w:sz="4" w:space="0" w:color="auto"/>
            </w:tcBorders>
            <w:vAlign w:val="center"/>
          </w:tcPr>
          <w:p w:rsidR="0087647C" w:rsidRPr="00DF7CE4" w:rsidRDefault="0087647C" w:rsidP="00A2538A">
            <w:pPr>
              <w:adjustRightInd w:val="0"/>
              <w:jc w:val="center"/>
              <w:rPr>
                <w:spacing w:val="-2"/>
                <w:sz w:val="18"/>
                <w:szCs w:val="18"/>
              </w:rPr>
            </w:pPr>
            <w:r w:rsidRPr="00DF7CE4">
              <w:rPr>
                <w:spacing w:val="-2"/>
                <w:sz w:val="18"/>
                <w:szCs w:val="18"/>
              </w:rPr>
              <w:t>11 min*</w:t>
            </w:r>
          </w:p>
        </w:tc>
      </w:tr>
      <w:tr w:rsidR="0087647C" w:rsidRPr="00DF7CE4" w:rsidTr="00A2538A">
        <w:tc>
          <w:tcPr>
            <w:tcW w:w="0" w:type="auto"/>
            <w:tcBorders>
              <w:left w:val="double" w:sz="4" w:space="0" w:color="auto"/>
            </w:tcBorders>
            <w:vAlign w:val="center"/>
          </w:tcPr>
          <w:p w:rsidR="0087647C" w:rsidRPr="00DF7CE4" w:rsidRDefault="0087647C" w:rsidP="00A2538A">
            <w:pPr>
              <w:adjustRightInd w:val="0"/>
              <w:rPr>
                <w:spacing w:val="-2"/>
                <w:sz w:val="18"/>
                <w:szCs w:val="18"/>
              </w:rPr>
            </w:pPr>
            <w:r w:rsidRPr="00DF7CE4">
              <w:rPr>
                <w:spacing w:val="-2"/>
                <w:sz w:val="18"/>
                <w:szCs w:val="18"/>
              </w:rPr>
              <w:t>Usual types of significant constituent materials</w:t>
            </w:r>
          </w:p>
        </w:tc>
        <w:tc>
          <w:tcPr>
            <w:tcW w:w="0" w:type="auto"/>
            <w:gridSpan w:val="2"/>
            <w:vAlign w:val="center"/>
          </w:tcPr>
          <w:p w:rsidR="0087647C" w:rsidRPr="00DF7CE4" w:rsidRDefault="0087647C" w:rsidP="00A2538A">
            <w:pPr>
              <w:adjustRightInd w:val="0"/>
              <w:jc w:val="center"/>
              <w:rPr>
                <w:spacing w:val="-2"/>
                <w:sz w:val="18"/>
                <w:szCs w:val="18"/>
              </w:rPr>
            </w:pPr>
            <w:r w:rsidRPr="00DF7CE4">
              <w:rPr>
                <w:spacing w:val="-2"/>
                <w:sz w:val="18"/>
                <w:szCs w:val="18"/>
              </w:rPr>
              <w:t>Stone fragments, gravel and sand</w:t>
            </w:r>
          </w:p>
        </w:tc>
        <w:tc>
          <w:tcPr>
            <w:tcW w:w="0" w:type="auto"/>
            <w:vAlign w:val="center"/>
          </w:tcPr>
          <w:p w:rsidR="0087647C" w:rsidRPr="00DF7CE4" w:rsidRDefault="0087647C" w:rsidP="00A2538A">
            <w:pPr>
              <w:adjustRightInd w:val="0"/>
              <w:jc w:val="center"/>
              <w:rPr>
                <w:spacing w:val="-2"/>
                <w:sz w:val="18"/>
                <w:szCs w:val="18"/>
              </w:rPr>
            </w:pPr>
            <w:r w:rsidRPr="00DF7CE4">
              <w:rPr>
                <w:spacing w:val="-2"/>
                <w:sz w:val="18"/>
                <w:szCs w:val="18"/>
              </w:rPr>
              <w:t>Fine sand</w:t>
            </w:r>
          </w:p>
        </w:tc>
        <w:tc>
          <w:tcPr>
            <w:tcW w:w="2592" w:type="dxa"/>
            <w:gridSpan w:val="4"/>
            <w:vAlign w:val="center"/>
          </w:tcPr>
          <w:p w:rsidR="0087647C" w:rsidRPr="00DF7CE4" w:rsidRDefault="0087647C" w:rsidP="00A2538A">
            <w:pPr>
              <w:adjustRightInd w:val="0"/>
              <w:jc w:val="center"/>
              <w:rPr>
                <w:spacing w:val="-2"/>
                <w:sz w:val="18"/>
                <w:szCs w:val="18"/>
              </w:rPr>
            </w:pPr>
            <w:r w:rsidRPr="00DF7CE4">
              <w:rPr>
                <w:spacing w:val="-2"/>
                <w:sz w:val="18"/>
                <w:szCs w:val="18"/>
              </w:rPr>
              <w:t>Silty or clayey gravel and sand</w:t>
            </w:r>
          </w:p>
        </w:tc>
        <w:tc>
          <w:tcPr>
            <w:tcW w:w="0" w:type="auto"/>
            <w:gridSpan w:val="2"/>
            <w:vAlign w:val="center"/>
          </w:tcPr>
          <w:p w:rsidR="0087647C" w:rsidRPr="00DF7CE4" w:rsidRDefault="0087647C" w:rsidP="00A2538A">
            <w:pPr>
              <w:adjustRightInd w:val="0"/>
              <w:jc w:val="center"/>
              <w:rPr>
                <w:spacing w:val="-2"/>
                <w:sz w:val="18"/>
                <w:szCs w:val="18"/>
              </w:rPr>
            </w:pPr>
            <w:r w:rsidRPr="00DF7CE4">
              <w:rPr>
                <w:spacing w:val="-2"/>
                <w:sz w:val="18"/>
                <w:szCs w:val="18"/>
              </w:rPr>
              <w:t>Silty soils</w:t>
            </w:r>
          </w:p>
        </w:tc>
        <w:tc>
          <w:tcPr>
            <w:tcW w:w="0" w:type="auto"/>
            <w:gridSpan w:val="2"/>
            <w:tcBorders>
              <w:right w:val="double" w:sz="4" w:space="0" w:color="auto"/>
            </w:tcBorders>
            <w:vAlign w:val="center"/>
          </w:tcPr>
          <w:p w:rsidR="0087647C" w:rsidRPr="00DF7CE4" w:rsidRDefault="0087647C" w:rsidP="00A2538A">
            <w:pPr>
              <w:adjustRightInd w:val="0"/>
              <w:jc w:val="center"/>
              <w:rPr>
                <w:spacing w:val="-2"/>
                <w:sz w:val="18"/>
                <w:szCs w:val="18"/>
              </w:rPr>
            </w:pPr>
            <w:r w:rsidRPr="00DF7CE4">
              <w:rPr>
                <w:spacing w:val="-2"/>
                <w:sz w:val="18"/>
                <w:szCs w:val="18"/>
              </w:rPr>
              <w:t>Clayey soils</w:t>
            </w:r>
          </w:p>
        </w:tc>
      </w:tr>
      <w:tr w:rsidR="0087647C" w:rsidRPr="00DF7CE4" w:rsidTr="00A2538A">
        <w:tc>
          <w:tcPr>
            <w:tcW w:w="0" w:type="auto"/>
            <w:tcBorders>
              <w:left w:val="double" w:sz="4" w:space="0" w:color="auto"/>
            </w:tcBorders>
            <w:vAlign w:val="center"/>
          </w:tcPr>
          <w:p w:rsidR="0087647C" w:rsidRPr="00DF7CE4" w:rsidRDefault="0087647C" w:rsidP="00A2538A">
            <w:pPr>
              <w:adjustRightInd w:val="0"/>
              <w:rPr>
                <w:spacing w:val="-2"/>
                <w:sz w:val="18"/>
                <w:szCs w:val="18"/>
              </w:rPr>
            </w:pPr>
            <w:r w:rsidRPr="00DF7CE4">
              <w:rPr>
                <w:spacing w:val="-2"/>
                <w:sz w:val="18"/>
                <w:szCs w:val="18"/>
              </w:rPr>
              <w:t>General rating as subgrade</w:t>
            </w:r>
          </w:p>
        </w:tc>
        <w:tc>
          <w:tcPr>
            <w:tcW w:w="4798" w:type="dxa"/>
            <w:gridSpan w:val="7"/>
            <w:vAlign w:val="center"/>
          </w:tcPr>
          <w:p w:rsidR="0087647C" w:rsidRPr="00DF7CE4" w:rsidRDefault="0087647C" w:rsidP="00A2538A">
            <w:pPr>
              <w:adjustRightInd w:val="0"/>
              <w:jc w:val="center"/>
              <w:rPr>
                <w:spacing w:val="-2"/>
                <w:sz w:val="18"/>
                <w:szCs w:val="18"/>
              </w:rPr>
            </w:pPr>
            <w:r w:rsidRPr="00DF7CE4">
              <w:rPr>
                <w:spacing w:val="-2"/>
                <w:sz w:val="18"/>
                <w:szCs w:val="18"/>
              </w:rPr>
              <w:t>Excellent to good</w:t>
            </w:r>
          </w:p>
        </w:tc>
        <w:tc>
          <w:tcPr>
            <w:tcW w:w="0" w:type="auto"/>
            <w:gridSpan w:val="4"/>
            <w:tcBorders>
              <w:right w:val="double" w:sz="4" w:space="0" w:color="auto"/>
            </w:tcBorders>
            <w:vAlign w:val="center"/>
          </w:tcPr>
          <w:p w:rsidR="0087647C" w:rsidRPr="00DF7CE4" w:rsidRDefault="0087647C" w:rsidP="00A2538A">
            <w:pPr>
              <w:adjustRightInd w:val="0"/>
              <w:jc w:val="center"/>
              <w:rPr>
                <w:spacing w:val="-2"/>
                <w:sz w:val="18"/>
                <w:szCs w:val="18"/>
              </w:rPr>
            </w:pPr>
            <w:r w:rsidRPr="00DF7CE4">
              <w:rPr>
                <w:spacing w:val="-2"/>
                <w:sz w:val="18"/>
                <w:szCs w:val="18"/>
              </w:rPr>
              <w:t>Fair to poor</w:t>
            </w:r>
          </w:p>
        </w:tc>
      </w:tr>
      <w:tr w:rsidR="0087647C" w:rsidRPr="00DF7CE4" w:rsidTr="00A2538A">
        <w:tc>
          <w:tcPr>
            <w:tcW w:w="9576" w:type="dxa"/>
            <w:gridSpan w:val="12"/>
            <w:tcBorders>
              <w:left w:val="double" w:sz="4" w:space="0" w:color="auto"/>
              <w:bottom w:val="double" w:sz="4" w:space="0" w:color="auto"/>
              <w:right w:val="double" w:sz="4" w:space="0" w:color="auto"/>
            </w:tcBorders>
          </w:tcPr>
          <w:p w:rsidR="0087647C" w:rsidRPr="00DF7CE4" w:rsidRDefault="0087647C" w:rsidP="00DF7CE4">
            <w:pPr>
              <w:adjustRightInd w:val="0"/>
              <w:rPr>
                <w:spacing w:val="-2"/>
                <w:sz w:val="18"/>
                <w:szCs w:val="18"/>
              </w:rPr>
            </w:pPr>
            <w:r w:rsidRPr="00DF7CE4">
              <w:rPr>
                <w:spacing w:val="-2"/>
                <w:sz w:val="18"/>
                <w:szCs w:val="18"/>
              </w:rPr>
              <w:t>* Plasticity index of A-7-5 subgroup is equal to or less than LL minus 30.  Plasticity index of A-7-6 subgroup is greater than LL minus 30</w:t>
            </w:r>
          </w:p>
        </w:tc>
      </w:tr>
    </w:tbl>
    <w:p w:rsidR="00665E6B" w:rsidRDefault="00665E6B" w:rsidP="00A04EEC"/>
    <w:p w:rsidR="00032EB8" w:rsidRDefault="00032EB8">
      <w:bookmarkStart w:id="52" w:name="_Toc295918112"/>
    </w:p>
    <w:p w:rsidR="00032EB8" w:rsidRDefault="00032EB8" w:rsidP="00032EB8">
      <w:pPr>
        <w:pStyle w:val="Heading4"/>
      </w:pPr>
      <w:bookmarkStart w:id="53" w:name="_Toc295918614"/>
      <w:r>
        <w:t>AASHTO Aggregate Gradations</w:t>
      </w:r>
      <w:bookmarkEnd w:id="53"/>
    </w:p>
    <w:p w:rsidR="00032EB8" w:rsidRDefault="00032EB8" w:rsidP="00032EB8">
      <w:r>
        <w:t xml:space="preserve">In addition to providing a standard specification for classifying soils, AASHTO provides standard aggregate gradations in AASHTO M 43, </w:t>
      </w:r>
      <w:r>
        <w:rPr>
          <w:i/>
        </w:rPr>
        <w:t>Standard Specifications for Sizes of Aggregate for Road and Bridge Construction</w:t>
      </w:r>
      <w:r>
        <w:t xml:space="preserve">.  In this specification, the standard aggregate size gradations </w:t>
      </w:r>
      <w:r>
        <w:lastRenderedPageBreak/>
        <w:t xml:space="preserve">presented in Table </w:t>
      </w:r>
      <w:r w:rsidR="00A806A8">
        <w:t xml:space="preserve">3-5 </w:t>
      </w:r>
      <w:r>
        <w:t>are provided to standardize the use of aggregates for subbase, base, asphalt mixtures, and concrete applications.</w:t>
      </w:r>
    </w:p>
    <w:p w:rsidR="00032EB8" w:rsidRDefault="00032EB8" w:rsidP="00032EB8"/>
    <w:p w:rsidR="00032EB8" w:rsidRDefault="00032EB8" w:rsidP="00032EB8">
      <w:pPr>
        <w:pStyle w:val="Heading4"/>
      </w:pPr>
      <w:bookmarkStart w:id="54" w:name="_Toc295918615"/>
      <w:r>
        <w:t>Other Aggregate</w:t>
      </w:r>
      <w:bookmarkEnd w:id="54"/>
    </w:p>
    <w:p w:rsidR="00032EB8" w:rsidRDefault="00032EB8" w:rsidP="00032EB8">
      <w:r>
        <w:t>In addition to naturally-derived aggregates obtained from gravel pits and quarries, a number of other aggregate sources can be used on transportation products.  These include industrial byproducts, such as iron blast furnace slag, electric arc steel furnace slag, bottom ash, and foundry sand, and recycled materials including recycled concrete aggregate (RCA), recycled asphalt pavement (RAP), and recycled glass, to name a few.  The increasing emphasis on improving the sustainability of infrastructure will likely result in an increased emphasis to appropriately use industrial byproduct and recycled materials as aggregate, whether in unbound subbases or bases, or as aggregate bound with asphalt or hydraulic cement.  Although each of these materials share many similarities with naturally-derived aggregate, they are unique in their own way.  Thus an engineer must familiarize themselves with the materials being contemplated for use and select applications which will ensure the desired performance for the design life.  Considerable information on the use of the most common industrial byproduct and recycled aggregate can be found at the FHWA supported Recycled Materials Resource Center (</w:t>
      </w:r>
      <w:hyperlink r:id="rId24" w:history="1">
        <w:r w:rsidRPr="00BF29AE">
          <w:rPr>
            <w:rStyle w:val="Hyperlink"/>
            <w:spacing w:val="-2"/>
          </w:rPr>
          <w:t>http://www.recycledmaterials.org/</w:t>
        </w:r>
      </w:hyperlink>
      <w:r>
        <w:t>).</w:t>
      </w:r>
    </w:p>
    <w:p w:rsidR="00A273A7" w:rsidRDefault="00A273A7">
      <w:r>
        <w:br w:type="page"/>
      </w:r>
    </w:p>
    <w:p w:rsidR="00326944" w:rsidRDefault="00D34F2B" w:rsidP="00D34F2B">
      <w:pPr>
        <w:pStyle w:val="Heading9"/>
        <w:rPr>
          <w:spacing w:val="-2"/>
        </w:rPr>
      </w:pPr>
      <w:r>
        <w:lastRenderedPageBreak/>
        <w:t>Table</w:t>
      </w:r>
      <w:r w:rsidR="00C11CBD">
        <w:t xml:space="preserve"> </w:t>
      </w:r>
      <w:bookmarkStart w:id="55" w:name="t5"/>
      <w:r w:rsidR="00F3038B">
        <w:t>3-</w:t>
      </w:r>
      <w:bookmarkEnd w:id="55"/>
      <w:r w:rsidR="00CC4DEE">
        <w:t>4</w:t>
      </w:r>
      <w:r>
        <w:t xml:space="preserve">.  </w:t>
      </w:r>
      <w:r w:rsidR="00326944">
        <w:rPr>
          <w:spacing w:val="-2"/>
        </w:rPr>
        <w:t>USCS Classification.</w:t>
      </w:r>
      <w:bookmarkEnd w:id="52"/>
    </w:p>
    <w:tbl>
      <w:tblPr>
        <w:tblW w:w="5000" w:type="pct"/>
        <w:tblCellMar>
          <w:top w:w="14" w:type="dxa"/>
          <w:left w:w="29" w:type="dxa"/>
          <w:bottom w:w="14" w:type="dxa"/>
          <w:right w:w="29" w:type="dxa"/>
        </w:tblCellMar>
        <w:tblLook w:val="0000" w:firstRow="0" w:lastRow="0" w:firstColumn="0" w:lastColumn="0" w:noHBand="0" w:noVBand="0"/>
      </w:tblPr>
      <w:tblGrid>
        <w:gridCol w:w="626"/>
        <w:gridCol w:w="651"/>
        <w:gridCol w:w="729"/>
        <w:gridCol w:w="440"/>
        <w:gridCol w:w="298"/>
        <w:gridCol w:w="2528"/>
        <w:gridCol w:w="1351"/>
        <w:gridCol w:w="1305"/>
        <w:gridCol w:w="1490"/>
      </w:tblGrid>
      <w:tr w:rsidR="00420644" w:rsidRPr="00420644" w:rsidTr="00456FFF">
        <w:tc>
          <w:tcPr>
            <w:tcW w:w="1066" w:type="pct"/>
            <w:gridSpan w:val="3"/>
            <w:tcBorders>
              <w:top w:val="double" w:sz="6" w:space="0" w:color="auto"/>
              <w:left w:val="double" w:sz="6" w:space="0" w:color="auto"/>
              <w:bottom w:val="single" w:sz="4" w:space="0" w:color="auto"/>
              <w:right w:val="single" w:sz="4" w:space="0" w:color="auto"/>
            </w:tcBorders>
            <w:shd w:val="clear" w:color="auto" w:fill="auto"/>
            <w:vAlign w:val="bottom"/>
          </w:tcPr>
          <w:p w:rsidR="00326944" w:rsidRPr="00420644" w:rsidRDefault="00326944">
            <w:pPr>
              <w:jc w:val="center"/>
              <w:rPr>
                <w:sz w:val="18"/>
                <w:szCs w:val="18"/>
              </w:rPr>
            </w:pPr>
            <w:r w:rsidRPr="00420644">
              <w:rPr>
                <w:sz w:val="18"/>
                <w:szCs w:val="18"/>
              </w:rPr>
              <w:t>Major Divisions</w:t>
            </w:r>
          </w:p>
        </w:tc>
        <w:tc>
          <w:tcPr>
            <w:tcW w:w="391" w:type="pct"/>
            <w:gridSpan w:val="2"/>
            <w:tcBorders>
              <w:top w:val="double" w:sz="6" w:space="0" w:color="auto"/>
              <w:left w:val="nil"/>
              <w:bottom w:val="single" w:sz="4" w:space="0" w:color="auto"/>
              <w:right w:val="single" w:sz="4" w:space="0" w:color="auto"/>
            </w:tcBorders>
            <w:shd w:val="clear" w:color="auto" w:fill="auto"/>
            <w:vAlign w:val="bottom"/>
          </w:tcPr>
          <w:p w:rsidR="00326944" w:rsidRPr="00420644" w:rsidRDefault="00326944">
            <w:pPr>
              <w:jc w:val="center"/>
              <w:rPr>
                <w:sz w:val="18"/>
                <w:szCs w:val="18"/>
              </w:rPr>
            </w:pPr>
            <w:r w:rsidRPr="00420644">
              <w:rPr>
                <w:sz w:val="18"/>
                <w:szCs w:val="18"/>
              </w:rPr>
              <w:t xml:space="preserve">Group </w:t>
            </w:r>
            <w:r w:rsidRPr="00420644">
              <w:rPr>
                <w:sz w:val="18"/>
                <w:szCs w:val="18"/>
              </w:rPr>
              <w:br/>
              <w:t>Symbols</w:t>
            </w:r>
          </w:p>
        </w:tc>
        <w:tc>
          <w:tcPr>
            <w:tcW w:w="1342" w:type="pct"/>
            <w:tcBorders>
              <w:top w:val="double" w:sz="6" w:space="0" w:color="auto"/>
              <w:left w:val="nil"/>
              <w:bottom w:val="single" w:sz="4" w:space="0" w:color="auto"/>
              <w:right w:val="single" w:sz="4" w:space="0" w:color="auto"/>
            </w:tcBorders>
            <w:shd w:val="clear" w:color="auto" w:fill="auto"/>
            <w:vAlign w:val="bottom"/>
          </w:tcPr>
          <w:p w:rsidR="00326944" w:rsidRPr="00420644" w:rsidRDefault="00326944">
            <w:pPr>
              <w:jc w:val="center"/>
              <w:rPr>
                <w:sz w:val="18"/>
                <w:szCs w:val="18"/>
              </w:rPr>
            </w:pPr>
            <w:r w:rsidRPr="00420644">
              <w:rPr>
                <w:sz w:val="18"/>
                <w:szCs w:val="18"/>
              </w:rPr>
              <w:t>Typical Names</w:t>
            </w:r>
          </w:p>
        </w:tc>
        <w:tc>
          <w:tcPr>
            <w:tcW w:w="2201" w:type="pct"/>
            <w:gridSpan w:val="3"/>
            <w:tcBorders>
              <w:top w:val="double" w:sz="6" w:space="0" w:color="auto"/>
              <w:left w:val="nil"/>
              <w:bottom w:val="single" w:sz="4" w:space="0" w:color="auto"/>
              <w:right w:val="double" w:sz="6" w:space="0" w:color="auto"/>
            </w:tcBorders>
            <w:shd w:val="clear" w:color="auto" w:fill="auto"/>
            <w:vAlign w:val="bottom"/>
          </w:tcPr>
          <w:p w:rsidR="00326944" w:rsidRPr="00420644" w:rsidRDefault="00326944">
            <w:pPr>
              <w:jc w:val="center"/>
              <w:rPr>
                <w:sz w:val="18"/>
                <w:szCs w:val="18"/>
              </w:rPr>
            </w:pPr>
            <w:r w:rsidRPr="00420644">
              <w:rPr>
                <w:sz w:val="18"/>
                <w:szCs w:val="18"/>
              </w:rPr>
              <w:t>Laboratory Classification Criteria</w:t>
            </w:r>
          </w:p>
        </w:tc>
      </w:tr>
      <w:tr w:rsidR="00326944" w:rsidRPr="00420644" w:rsidTr="00456FFF">
        <w:tc>
          <w:tcPr>
            <w:tcW w:w="333" w:type="pct"/>
            <w:vMerge w:val="restart"/>
            <w:tcBorders>
              <w:top w:val="nil"/>
              <w:left w:val="double" w:sz="6" w:space="0" w:color="auto"/>
              <w:bottom w:val="single" w:sz="4" w:space="0" w:color="auto"/>
              <w:right w:val="single" w:sz="4" w:space="0" w:color="auto"/>
            </w:tcBorders>
            <w:shd w:val="clear" w:color="auto" w:fill="auto"/>
            <w:textDirection w:val="btLr"/>
            <w:vAlign w:val="center"/>
          </w:tcPr>
          <w:p w:rsidR="00326944" w:rsidRPr="00420644" w:rsidRDefault="00326944">
            <w:pPr>
              <w:jc w:val="center"/>
              <w:rPr>
                <w:sz w:val="18"/>
                <w:szCs w:val="18"/>
              </w:rPr>
            </w:pPr>
            <w:r w:rsidRPr="00420644">
              <w:rPr>
                <w:sz w:val="18"/>
                <w:szCs w:val="18"/>
              </w:rPr>
              <w:t>Coarse-grained soils</w:t>
            </w:r>
            <w:r w:rsidRPr="00420644">
              <w:rPr>
                <w:sz w:val="18"/>
                <w:szCs w:val="18"/>
              </w:rPr>
              <w:br/>
              <w:t>(More than half of material is larger than No. 200 sieve size)</w:t>
            </w:r>
          </w:p>
        </w:tc>
        <w:tc>
          <w:tcPr>
            <w:tcW w:w="346" w:type="pct"/>
            <w:vMerge w:val="restart"/>
            <w:tcBorders>
              <w:top w:val="nil"/>
              <w:left w:val="single" w:sz="4" w:space="0" w:color="auto"/>
              <w:bottom w:val="single" w:sz="4" w:space="0" w:color="auto"/>
              <w:right w:val="single" w:sz="4" w:space="0" w:color="auto"/>
            </w:tcBorders>
            <w:shd w:val="clear" w:color="auto" w:fill="auto"/>
            <w:textDirection w:val="btLr"/>
            <w:vAlign w:val="center"/>
          </w:tcPr>
          <w:p w:rsidR="00326944" w:rsidRPr="00420644" w:rsidRDefault="00326944">
            <w:pPr>
              <w:jc w:val="center"/>
              <w:rPr>
                <w:sz w:val="18"/>
                <w:szCs w:val="18"/>
              </w:rPr>
            </w:pPr>
            <w:r w:rsidRPr="00420644">
              <w:rPr>
                <w:sz w:val="18"/>
                <w:szCs w:val="18"/>
              </w:rPr>
              <w:t>Gravels</w:t>
            </w:r>
            <w:r w:rsidRPr="00420644">
              <w:rPr>
                <w:sz w:val="18"/>
                <w:szCs w:val="18"/>
              </w:rPr>
              <w:br/>
              <w:t>(More than half of coarse fraction is larger than No. 4 sieve size)</w:t>
            </w:r>
          </w:p>
        </w:tc>
        <w:tc>
          <w:tcPr>
            <w:tcW w:w="386" w:type="pct"/>
            <w:vMerge w:val="restart"/>
            <w:tcBorders>
              <w:top w:val="nil"/>
              <w:left w:val="single" w:sz="4" w:space="0" w:color="auto"/>
              <w:bottom w:val="single" w:sz="4" w:space="0" w:color="auto"/>
              <w:right w:val="single" w:sz="4" w:space="0" w:color="auto"/>
            </w:tcBorders>
            <w:shd w:val="clear" w:color="auto" w:fill="auto"/>
            <w:textDirection w:val="btLr"/>
            <w:vAlign w:val="center"/>
          </w:tcPr>
          <w:p w:rsidR="00326944" w:rsidRPr="00420644" w:rsidRDefault="00326944">
            <w:pPr>
              <w:jc w:val="center"/>
              <w:rPr>
                <w:sz w:val="18"/>
                <w:szCs w:val="18"/>
              </w:rPr>
            </w:pPr>
            <w:r w:rsidRPr="00420644">
              <w:rPr>
                <w:sz w:val="18"/>
                <w:szCs w:val="18"/>
              </w:rPr>
              <w:t>Clean gravels</w:t>
            </w:r>
            <w:r w:rsidRPr="00420644">
              <w:rPr>
                <w:sz w:val="18"/>
                <w:szCs w:val="18"/>
              </w:rPr>
              <w:br/>
              <w:t>(Little to no fines)</w:t>
            </w:r>
          </w:p>
        </w:tc>
        <w:tc>
          <w:tcPr>
            <w:tcW w:w="391" w:type="pct"/>
            <w:gridSpan w:val="2"/>
            <w:tcBorders>
              <w:top w:val="nil"/>
              <w:left w:val="nil"/>
              <w:bottom w:val="single" w:sz="4" w:space="0" w:color="auto"/>
              <w:right w:val="single" w:sz="4" w:space="0" w:color="auto"/>
            </w:tcBorders>
            <w:shd w:val="clear" w:color="auto" w:fill="auto"/>
            <w:vAlign w:val="center"/>
          </w:tcPr>
          <w:p w:rsidR="00326944" w:rsidRPr="00420644" w:rsidRDefault="00326944">
            <w:pPr>
              <w:jc w:val="center"/>
              <w:rPr>
                <w:sz w:val="18"/>
                <w:szCs w:val="18"/>
              </w:rPr>
            </w:pPr>
            <w:r w:rsidRPr="00420644">
              <w:rPr>
                <w:sz w:val="18"/>
                <w:szCs w:val="18"/>
              </w:rPr>
              <w:t>GW</w:t>
            </w:r>
          </w:p>
        </w:tc>
        <w:tc>
          <w:tcPr>
            <w:tcW w:w="1342" w:type="pct"/>
            <w:tcBorders>
              <w:top w:val="nil"/>
              <w:left w:val="nil"/>
              <w:bottom w:val="single" w:sz="4" w:space="0" w:color="auto"/>
              <w:right w:val="single" w:sz="4" w:space="0" w:color="auto"/>
            </w:tcBorders>
            <w:shd w:val="clear" w:color="auto" w:fill="auto"/>
            <w:vAlign w:val="bottom"/>
          </w:tcPr>
          <w:p w:rsidR="00326944" w:rsidRPr="00420644" w:rsidRDefault="00326944">
            <w:pPr>
              <w:rPr>
                <w:sz w:val="18"/>
                <w:szCs w:val="18"/>
              </w:rPr>
            </w:pPr>
            <w:r w:rsidRPr="00420644">
              <w:rPr>
                <w:sz w:val="18"/>
                <w:szCs w:val="18"/>
              </w:rPr>
              <w:t>Well-graded gravels, gravel-sand mixtures, little or no fines</w:t>
            </w:r>
          </w:p>
        </w:tc>
        <w:tc>
          <w:tcPr>
            <w:tcW w:w="717" w:type="pct"/>
            <w:vMerge w:val="restart"/>
            <w:tcBorders>
              <w:top w:val="nil"/>
              <w:left w:val="single" w:sz="4" w:space="0" w:color="auto"/>
              <w:bottom w:val="single" w:sz="4" w:space="0" w:color="auto"/>
              <w:right w:val="single" w:sz="4" w:space="0" w:color="auto"/>
            </w:tcBorders>
            <w:shd w:val="clear" w:color="auto" w:fill="auto"/>
            <w:textDirection w:val="btLr"/>
            <w:vAlign w:val="bottom"/>
          </w:tcPr>
          <w:p w:rsidR="00326944" w:rsidRPr="00420644" w:rsidRDefault="00326944" w:rsidP="00326944">
            <w:pPr>
              <w:rPr>
                <w:sz w:val="18"/>
                <w:szCs w:val="18"/>
              </w:rPr>
            </w:pPr>
            <w:r w:rsidRPr="00420644">
              <w:rPr>
                <w:sz w:val="18"/>
                <w:szCs w:val="18"/>
              </w:rPr>
              <w:t>Determine percentages of sand and gravel from grain-size curve.</w:t>
            </w:r>
            <w:r w:rsidRPr="00420644">
              <w:rPr>
                <w:sz w:val="18"/>
                <w:szCs w:val="18"/>
              </w:rPr>
              <w:br/>
              <w:t>Depending on percentage of fines (fraction smaller than No. 200 sieve size), coarse-</w:t>
            </w:r>
            <w:r w:rsidR="00DA2F11" w:rsidRPr="00420644">
              <w:rPr>
                <w:sz w:val="18"/>
                <w:szCs w:val="18"/>
              </w:rPr>
              <w:t>grained</w:t>
            </w:r>
            <w:r w:rsidRPr="00420644">
              <w:rPr>
                <w:sz w:val="18"/>
                <w:szCs w:val="18"/>
              </w:rPr>
              <w:t xml:space="preserve"> soils are classified as follows:</w:t>
            </w:r>
            <w:r w:rsidRPr="00420644">
              <w:rPr>
                <w:sz w:val="18"/>
                <w:szCs w:val="18"/>
              </w:rPr>
              <w:br/>
              <w:t>Less than 5%          GW, GP, SW, SP</w:t>
            </w:r>
            <w:r w:rsidRPr="00420644">
              <w:rPr>
                <w:sz w:val="18"/>
                <w:szCs w:val="18"/>
              </w:rPr>
              <w:br/>
              <w:t>More than 12%        GM, GC, SM, SC</w:t>
            </w:r>
            <w:r w:rsidRPr="00420644">
              <w:rPr>
                <w:sz w:val="18"/>
                <w:szCs w:val="18"/>
              </w:rPr>
              <w:br/>
              <w:t xml:space="preserve">5-12%                     Borderline cases </w:t>
            </w:r>
            <w:r w:rsidR="0037100D" w:rsidRPr="00420644">
              <w:rPr>
                <w:sz w:val="18"/>
                <w:szCs w:val="18"/>
              </w:rPr>
              <w:t>requiring</w:t>
            </w:r>
            <w:r w:rsidRPr="00420644">
              <w:rPr>
                <w:sz w:val="18"/>
                <w:szCs w:val="18"/>
              </w:rPr>
              <w:t xml:space="preserve"> dual symbols**</w:t>
            </w:r>
          </w:p>
        </w:tc>
        <w:tc>
          <w:tcPr>
            <w:tcW w:w="1484" w:type="pct"/>
            <w:gridSpan w:val="2"/>
            <w:tcBorders>
              <w:top w:val="nil"/>
              <w:left w:val="nil"/>
              <w:bottom w:val="single" w:sz="4" w:space="0" w:color="auto"/>
              <w:right w:val="double" w:sz="6" w:space="0" w:color="auto"/>
            </w:tcBorders>
            <w:shd w:val="clear" w:color="auto" w:fill="auto"/>
            <w:vAlign w:val="bottom"/>
          </w:tcPr>
          <w:p w:rsidR="00326944" w:rsidRPr="00420644" w:rsidRDefault="00326944">
            <w:pPr>
              <w:rPr>
                <w:sz w:val="18"/>
                <w:szCs w:val="18"/>
              </w:rPr>
            </w:pPr>
            <w:r w:rsidRPr="00420644">
              <w:rPr>
                <w:sz w:val="18"/>
                <w:szCs w:val="18"/>
              </w:rPr>
              <w:t> </w:t>
            </w:r>
            <w:r w:rsidR="00875859" w:rsidRPr="00875859">
              <w:rPr>
                <w:position w:val="-30"/>
                <w:sz w:val="18"/>
                <w:szCs w:val="18"/>
              </w:rPr>
              <w:object w:dxaOrig="999"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2pt;height:26.85pt" o:ole="">
                  <v:imagedata r:id="rId25" o:title=""/>
                </v:shape>
                <o:OLEObject Type="Embed" ProgID="Equation.3" ShapeID="_x0000_i1025" DrawAspect="Content" ObjectID="_1467003269" r:id="rId26"/>
              </w:object>
            </w:r>
            <w:r w:rsidR="00875859">
              <w:rPr>
                <w:sz w:val="18"/>
                <w:szCs w:val="18"/>
              </w:rPr>
              <w:t xml:space="preserve"> greater than 4; </w:t>
            </w:r>
            <w:r w:rsidR="00875859" w:rsidRPr="00875859">
              <w:rPr>
                <w:position w:val="-30"/>
                <w:sz w:val="18"/>
                <w:szCs w:val="18"/>
              </w:rPr>
              <w:object w:dxaOrig="1520" w:dyaOrig="740">
                <v:shape id="_x0000_i1026" type="#_x0000_t75" style="width:57.95pt;height:28.7pt" o:ole="">
                  <v:imagedata r:id="rId27" o:title=""/>
                </v:shape>
                <o:OLEObject Type="Embed" ProgID="Equation.3" ShapeID="_x0000_i1026" DrawAspect="Content" ObjectID="_1467003270" r:id="rId28"/>
              </w:object>
            </w:r>
            <w:r w:rsidR="00875859">
              <w:rPr>
                <w:sz w:val="18"/>
                <w:szCs w:val="18"/>
              </w:rPr>
              <w:t xml:space="preserve"> between 1 and 3</w:t>
            </w:r>
          </w:p>
        </w:tc>
      </w:tr>
      <w:tr w:rsidR="00326944" w:rsidRPr="00420644" w:rsidTr="00456FFF">
        <w:tc>
          <w:tcPr>
            <w:tcW w:w="333" w:type="pct"/>
            <w:vMerge/>
            <w:tcBorders>
              <w:top w:val="nil"/>
              <w:left w:val="double" w:sz="6" w:space="0" w:color="auto"/>
              <w:bottom w:val="single" w:sz="4" w:space="0" w:color="auto"/>
              <w:right w:val="single" w:sz="4" w:space="0" w:color="auto"/>
            </w:tcBorders>
            <w:vAlign w:val="center"/>
          </w:tcPr>
          <w:p w:rsidR="00326944" w:rsidRPr="00420644" w:rsidRDefault="00326944">
            <w:pPr>
              <w:rPr>
                <w:sz w:val="18"/>
                <w:szCs w:val="18"/>
              </w:rPr>
            </w:pPr>
          </w:p>
        </w:tc>
        <w:tc>
          <w:tcPr>
            <w:tcW w:w="346" w:type="pct"/>
            <w:vMerge/>
            <w:tcBorders>
              <w:top w:val="nil"/>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386" w:type="pct"/>
            <w:vMerge/>
            <w:tcBorders>
              <w:top w:val="nil"/>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391" w:type="pct"/>
            <w:gridSpan w:val="2"/>
            <w:tcBorders>
              <w:top w:val="single" w:sz="4" w:space="0" w:color="auto"/>
              <w:left w:val="nil"/>
              <w:bottom w:val="single" w:sz="4" w:space="0" w:color="auto"/>
              <w:right w:val="single" w:sz="4" w:space="0" w:color="auto"/>
            </w:tcBorders>
            <w:shd w:val="clear" w:color="auto" w:fill="auto"/>
            <w:vAlign w:val="center"/>
          </w:tcPr>
          <w:p w:rsidR="00326944" w:rsidRPr="00420644" w:rsidRDefault="00326944">
            <w:pPr>
              <w:jc w:val="center"/>
              <w:rPr>
                <w:sz w:val="18"/>
                <w:szCs w:val="18"/>
              </w:rPr>
            </w:pPr>
            <w:r w:rsidRPr="00420644">
              <w:rPr>
                <w:sz w:val="18"/>
                <w:szCs w:val="18"/>
              </w:rPr>
              <w:t>GP</w:t>
            </w:r>
          </w:p>
        </w:tc>
        <w:tc>
          <w:tcPr>
            <w:tcW w:w="1342" w:type="pct"/>
            <w:tcBorders>
              <w:top w:val="nil"/>
              <w:left w:val="nil"/>
              <w:bottom w:val="single" w:sz="4" w:space="0" w:color="auto"/>
              <w:right w:val="single" w:sz="4" w:space="0" w:color="auto"/>
            </w:tcBorders>
            <w:shd w:val="clear" w:color="auto" w:fill="auto"/>
            <w:vAlign w:val="bottom"/>
          </w:tcPr>
          <w:p w:rsidR="00326944" w:rsidRPr="00420644" w:rsidRDefault="00326944">
            <w:pPr>
              <w:rPr>
                <w:sz w:val="18"/>
                <w:szCs w:val="18"/>
              </w:rPr>
            </w:pPr>
            <w:r w:rsidRPr="00420644">
              <w:rPr>
                <w:sz w:val="18"/>
                <w:szCs w:val="18"/>
              </w:rPr>
              <w:t>Poorly graded gravels, gravel-sand mixtures, little or no fines</w:t>
            </w:r>
          </w:p>
        </w:tc>
        <w:tc>
          <w:tcPr>
            <w:tcW w:w="717" w:type="pct"/>
            <w:vMerge/>
            <w:tcBorders>
              <w:top w:val="nil"/>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1484" w:type="pct"/>
            <w:gridSpan w:val="2"/>
            <w:tcBorders>
              <w:top w:val="single" w:sz="4" w:space="0" w:color="auto"/>
              <w:left w:val="nil"/>
              <w:bottom w:val="single" w:sz="4" w:space="0" w:color="auto"/>
              <w:right w:val="double" w:sz="6" w:space="0" w:color="auto"/>
            </w:tcBorders>
            <w:shd w:val="clear" w:color="auto" w:fill="auto"/>
            <w:vAlign w:val="bottom"/>
          </w:tcPr>
          <w:p w:rsidR="00326944" w:rsidRPr="00420644" w:rsidRDefault="00326944">
            <w:pPr>
              <w:rPr>
                <w:sz w:val="18"/>
                <w:szCs w:val="18"/>
              </w:rPr>
            </w:pPr>
            <w:r w:rsidRPr="00420644">
              <w:rPr>
                <w:sz w:val="18"/>
                <w:szCs w:val="18"/>
              </w:rPr>
              <w:t xml:space="preserve"> Not meeting all gradation requirements for GW </w:t>
            </w:r>
          </w:p>
        </w:tc>
      </w:tr>
      <w:tr w:rsidR="00326944" w:rsidRPr="00420644" w:rsidTr="00456FFF">
        <w:tc>
          <w:tcPr>
            <w:tcW w:w="333" w:type="pct"/>
            <w:vMerge/>
            <w:tcBorders>
              <w:top w:val="nil"/>
              <w:left w:val="double" w:sz="6" w:space="0" w:color="auto"/>
              <w:bottom w:val="single" w:sz="4" w:space="0" w:color="auto"/>
              <w:right w:val="single" w:sz="4" w:space="0" w:color="auto"/>
            </w:tcBorders>
            <w:vAlign w:val="center"/>
          </w:tcPr>
          <w:p w:rsidR="00326944" w:rsidRPr="00420644" w:rsidRDefault="00326944">
            <w:pPr>
              <w:rPr>
                <w:sz w:val="18"/>
                <w:szCs w:val="18"/>
              </w:rPr>
            </w:pPr>
          </w:p>
        </w:tc>
        <w:tc>
          <w:tcPr>
            <w:tcW w:w="346" w:type="pct"/>
            <w:vMerge/>
            <w:tcBorders>
              <w:top w:val="nil"/>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386" w:type="pct"/>
            <w:vMerge w:val="restart"/>
            <w:tcBorders>
              <w:top w:val="nil"/>
              <w:left w:val="single" w:sz="4" w:space="0" w:color="auto"/>
              <w:bottom w:val="single" w:sz="4" w:space="0" w:color="auto"/>
              <w:right w:val="single" w:sz="4" w:space="0" w:color="auto"/>
            </w:tcBorders>
            <w:shd w:val="clear" w:color="auto" w:fill="auto"/>
            <w:textDirection w:val="btLr"/>
            <w:vAlign w:val="center"/>
          </w:tcPr>
          <w:p w:rsidR="00326944" w:rsidRPr="00420644" w:rsidRDefault="00326944">
            <w:pPr>
              <w:jc w:val="center"/>
              <w:rPr>
                <w:sz w:val="18"/>
                <w:szCs w:val="18"/>
              </w:rPr>
            </w:pPr>
            <w:r w:rsidRPr="00420644">
              <w:rPr>
                <w:sz w:val="18"/>
                <w:szCs w:val="18"/>
              </w:rPr>
              <w:t>Gravels with fines</w:t>
            </w:r>
            <w:r w:rsidRPr="00420644">
              <w:rPr>
                <w:sz w:val="18"/>
                <w:szCs w:val="18"/>
              </w:rPr>
              <w:br/>
              <w:t>(Appreciable amount of fines)</w:t>
            </w:r>
          </w:p>
        </w:tc>
        <w:tc>
          <w:tcPr>
            <w:tcW w:w="233" w:type="pct"/>
            <w:vMerge w:val="restart"/>
            <w:tcBorders>
              <w:top w:val="nil"/>
              <w:left w:val="single" w:sz="4" w:space="0" w:color="auto"/>
              <w:bottom w:val="single" w:sz="4" w:space="0" w:color="auto"/>
              <w:right w:val="single" w:sz="4" w:space="0" w:color="auto"/>
            </w:tcBorders>
            <w:shd w:val="clear" w:color="auto" w:fill="auto"/>
            <w:vAlign w:val="center"/>
          </w:tcPr>
          <w:p w:rsidR="00326944" w:rsidRPr="00420644" w:rsidRDefault="00326944">
            <w:pPr>
              <w:jc w:val="center"/>
              <w:rPr>
                <w:sz w:val="18"/>
                <w:szCs w:val="18"/>
              </w:rPr>
            </w:pPr>
            <w:r w:rsidRPr="00420644">
              <w:rPr>
                <w:sz w:val="18"/>
                <w:szCs w:val="18"/>
              </w:rPr>
              <w:t>GM*</w:t>
            </w:r>
          </w:p>
        </w:tc>
        <w:tc>
          <w:tcPr>
            <w:tcW w:w="158" w:type="pct"/>
            <w:tcBorders>
              <w:top w:val="nil"/>
              <w:left w:val="nil"/>
              <w:bottom w:val="single" w:sz="4" w:space="0" w:color="auto"/>
              <w:right w:val="single" w:sz="4" w:space="0" w:color="auto"/>
            </w:tcBorders>
            <w:shd w:val="clear" w:color="auto" w:fill="auto"/>
            <w:vAlign w:val="center"/>
          </w:tcPr>
          <w:p w:rsidR="00326944" w:rsidRPr="00420644" w:rsidRDefault="00326944">
            <w:pPr>
              <w:jc w:val="center"/>
              <w:rPr>
                <w:sz w:val="18"/>
                <w:szCs w:val="18"/>
              </w:rPr>
            </w:pPr>
            <w:r w:rsidRPr="00420644">
              <w:rPr>
                <w:sz w:val="18"/>
                <w:szCs w:val="18"/>
              </w:rPr>
              <w:t>d</w:t>
            </w:r>
          </w:p>
        </w:tc>
        <w:tc>
          <w:tcPr>
            <w:tcW w:w="1342" w:type="pct"/>
            <w:vMerge w:val="restart"/>
            <w:tcBorders>
              <w:top w:val="nil"/>
              <w:left w:val="single" w:sz="4" w:space="0" w:color="auto"/>
              <w:bottom w:val="single" w:sz="4" w:space="0" w:color="auto"/>
              <w:right w:val="single" w:sz="4" w:space="0" w:color="auto"/>
            </w:tcBorders>
            <w:shd w:val="clear" w:color="auto" w:fill="auto"/>
            <w:vAlign w:val="bottom"/>
          </w:tcPr>
          <w:p w:rsidR="00326944" w:rsidRPr="00420644" w:rsidRDefault="00326944">
            <w:pPr>
              <w:jc w:val="center"/>
              <w:rPr>
                <w:sz w:val="18"/>
                <w:szCs w:val="18"/>
              </w:rPr>
            </w:pPr>
            <w:r w:rsidRPr="00420644">
              <w:rPr>
                <w:sz w:val="18"/>
                <w:szCs w:val="18"/>
              </w:rPr>
              <w:t>Silty gravels, gravel-sand-silt mixtures</w:t>
            </w:r>
          </w:p>
        </w:tc>
        <w:tc>
          <w:tcPr>
            <w:tcW w:w="717" w:type="pct"/>
            <w:vMerge/>
            <w:tcBorders>
              <w:top w:val="nil"/>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693" w:type="pct"/>
            <w:vMerge w:val="restart"/>
            <w:tcBorders>
              <w:top w:val="nil"/>
              <w:left w:val="single" w:sz="4" w:space="0" w:color="auto"/>
              <w:bottom w:val="single" w:sz="4" w:space="0" w:color="auto"/>
              <w:right w:val="single" w:sz="4" w:space="0" w:color="auto"/>
            </w:tcBorders>
            <w:shd w:val="clear" w:color="auto" w:fill="auto"/>
            <w:vAlign w:val="bottom"/>
          </w:tcPr>
          <w:p w:rsidR="00326944" w:rsidRPr="00420644" w:rsidRDefault="00326944">
            <w:pPr>
              <w:rPr>
                <w:sz w:val="18"/>
                <w:szCs w:val="18"/>
              </w:rPr>
            </w:pPr>
            <w:r w:rsidRPr="00420644">
              <w:rPr>
                <w:sz w:val="18"/>
                <w:szCs w:val="18"/>
              </w:rPr>
              <w:t>Atterberg limits below "A" line or PI less than 4</w:t>
            </w:r>
          </w:p>
        </w:tc>
        <w:tc>
          <w:tcPr>
            <w:tcW w:w="791" w:type="pct"/>
            <w:vMerge w:val="restart"/>
            <w:tcBorders>
              <w:top w:val="nil"/>
              <w:left w:val="single" w:sz="4" w:space="0" w:color="auto"/>
              <w:bottom w:val="single" w:sz="4" w:space="0" w:color="auto"/>
              <w:right w:val="double" w:sz="6" w:space="0" w:color="auto"/>
            </w:tcBorders>
            <w:shd w:val="clear" w:color="auto" w:fill="auto"/>
            <w:vAlign w:val="bottom"/>
          </w:tcPr>
          <w:p w:rsidR="00326944" w:rsidRPr="00420644" w:rsidRDefault="00326944">
            <w:pPr>
              <w:rPr>
                <w:sz w:val="18"/>
                <w:szCs w:val="18"/>
              </w:rPr>
            </w:pPr>
            <w:r w:rsidRPr="00420644">
              <w:rPr>
                <w:sz w:val="18"/>
                <w:szCs w:val="18"/>
              </w:rPr>
              <w:t>Above "A" line with PI between 4 and 7 are borderline cases requiring use of dual symbols</w:t>
            </w:r>
          </w:p>
        </w:tc>
      </w:tr>
      <w:tr w:rsidR="00326944" w:rsidRPr="00420644" w:rsidTr="00456FFF">
        <w:tc>
          <w:tcPr>
            <w:tcW w:w="333" w:type="pct"/>
            <w:vMerge/>
            <w:tcBorders>
              <w:top w:val="nil"/>
              <w:left w:val="double" w:sz="6" w:space="0" w:color="auto"/>
              <w:bottom w:val="single" w:sz="4" w:space="0" w:color="auto"/>
              <w:right w:val="single" w:sz="4" w:space="0" w:color="auto"/>
            </w:tcBorders>
            <w:vAlign w:val="center"/>
          </w:tcPr>
          <w:p w:rsidR="00326944" w:rsidRPr="00420644" w:rsidRDefault="00326944">
            <w:pPr>
              <w:rPr>
                <w:sz w:val="18"/>
                <w:szCs w:val="18"/>
              </w:rPr>
            </w:pPr>
          </w:p>
        </w:tc>
        <w:tc>
          <w:tcPr>
            <w:tcW w:w="346" w:type="pct"/>
            <w:vMerge/>
            <w:tcBorders>
              <w:top w:val="nil"/>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386" w:type="pct"/>
            <w:vMerge/>
            <w:tcBorders>
              <w:top w:val="nil"/>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233" w:type="pct"/>
            <w:vMerge/>
            <w:tcBorders>
              <w:top w:val="nil"/>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158" w:type="pct"/>
            <w:tcBorders>
              <w:top w:val="nil"/>
              <w:left w:val="nil"/>
              <w:bottom w:val="single" w:sz="4" w:space="0" w:color="auto"/>
              <w:right w:val="single" w:sz="4" w:space="0" w:color="auto"/>
            </w:tcBorders>
            <w:shd w:val="clear" w:color="auto" w:fill="auto"/>
            <w:vAlign w:val="center"/>
          </w:tcPr>
          <w:p w:rsidR="00326944" w:rsidRPr="00420644" w:rsidRDefault="00326944">
            <w:pPr>
              <w:jc w:val="center"/>
              <w:rPr>
                <w:sz w:val="18"/>
                <w:szCs w:val="18"/>
              </w:rPr>
            </w:pPr>
            <w:r w:rsidRPr="00420644">
              <w:rPr>
                <w:sz w:val="18"/>
                <w:szCs w:val="18"/>
              </w:rPr>
              <w:t>u</w:t>
            </w:r>
          </w:p>
        </w:tc>
        <w:tc>
          <w:tcPr>
            <w:tcW w:w="1342" w:type="pct"/>
            <w:vMerge/>
            <w:tcBorders>
              <w:top w:val="nil"/>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717" w:type="pct"/>
            <w:vMerge/>
            <w:tcBorders>
              <w:top w:val="nil"/>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693" w:type="pct"/>
            <w:vMerge/>
            <w:tcBorders>
              <w:top w:val="nil"/>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791" w:type="pct"/>
            <w:vMerge/>
            <w:tcBorders>
              <w:top w:val="nil"/>
              <w:left w:val="single" w:sz="4" w:space="0" w:color="auto"/>
              <w:bottom w:val="single" w:sz="4" w:space="0" w:color="auto"/>
              <w:right w:val="double" w:sz="6" w:space="0" w:color="auto"/>
            </w:tcBorders>
            <w:vAlign w:val="center"/>
          </w:tcPr>
          <w:p w:rsidR="00326944" w:rsidRPr="00420644" w:rsidRDefault="00326944">
            <w:pPr>
              <w:rPr>
                <w:sz w:val="18"/>
                <w:szCs w:val="18"/>
              </w:rPr>
            </w:pPr>
          </w:p>
        </w:tc>
      </w:tr>
      <w:tr w:rsidR="00326944" w:rsidRPr="00420644" w:rsidTr="00456FFF">
        <w:tc>
          <w:tcPr>
            <w:tcW w:w="333" w:type="pct"/>
            <w:vMerge/>
            <w:tcBorders>
              <w:top w:val="nil"/>
              <w:left w:val="double" w:sz="6" w:space="0" w:color="auto"/>
              <w:bottom w:val="single" w:sz="4" w:space="0" w:color="auto"/>
              <w:right w:val="single" w:sz="4" w:space="0" w:color="auto"/>
            </w:tcBorders>
            <w:vAlign w:val="center"/>
          </w:tcPr>
          <w:p w:rsidR="00326944" w:rsidRPr="00420644" w:rsidRDefault="00326944">
            <w:pPr>
              <w:rPr>
                <w:sz w:val="18"/>
                <w:szCs w:val="18"/>
              </w:rPr>
            </w:pPr>
          </w:p>
        </w:tc>
        <w:tc>
          <w:tcPr>
            <w:tcW w:w="346" w:type="pct"/>
            <w:vMerge/>
            <w:tcBorders>
              <w:top w:val="nil"/>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386" w:type="pct"/>
            <w:vMerge/>
            <w:tcBorders>
              <w:top w:val="nil"/>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391" w:type="pct"/>
            <w:gridSpan w:val="2"/>
            <w:tcBorders>
              <w:top w:val="single" w:sz="4" w:space="0" w:color="auto"/>
              <w:left w:val="nil"/>
              <w:bottom w:val="single" w:sz="4" w:space="0" w:color="auto"/>
              <w:right w:val="single" w:sz="4" w:space="0" w:color="auto"/>
            </w:tcBorders>
            <w:shd w:val="clear" w:color="auto" w:fill="auto"/>
            <w:vAlign w:val="center"/>
          </w:tcPr>
          <w:p w:rsidR="00326944" w:rsidRPr="00420644" w:rsidRDefault="00326944">
            <w:pPr>
              <w:jc w:val="center"/>
              <w:rPr>
                <w:sz w:val="18"/>
                <w:szCs w:val="18"/>
              </w:rPr>
            </w:pPr>
            <w:r w:rsidRPr="00420644">
              <w:rPr>
                <w:sz w:val="18"/>
                <w:szCs w:val="18"/>
              </w:rPr>
              <w:t>GC</w:t>
            </w:r>
          </w:p>
        </w:tc>
        <w:tc>
          <w:tcPr>
            <w:tcW w:w="1342" w:type="pct"/>
            <w:tcBorders>
              <w:top w:val="nil"/>
              <w:left w:val="nil"/>
              <w:bottom w:val="single" w:sz="4" w:space="0" w:color="auto"/>
              <w:right w:val="single" w:sz="4" w:space="0" w:color="auto"/>
            </w:tcBorders>
            <w:shd w:val="clear" w:color="auto" w:fill="auto"/>
            <w:vAlign w:val="bottom"/>
          </w:tcPr>
          <w:p w:rsidR="00326944" w:rsidRPr="00420644" w:rsidRDefault="00326944">
            <w:pPr>
              <w:rPr>
                <w:sz w:val="18"/>
                <w:szCs w:val="18"/>
              </w:rPr>
            </w:pPr>
            <w:r w:rsidRPr="00420644">
              <w:rPr>
                <w:sz w:val="18"/>
                <w:szCs w:val="18"/>
              </w:rPr>
              <w:t>Clayey gravels, gravel-sand-clay mixtures</w:t>
            </w:r>
          </w:p>
        </w:tc>
        <w:tc>
          <w:tcPr>
            <w:tcW w:w="717" w:type="pct"/>
            <w:vMerge/>
            <w:tcBorders>
              <w:top w:val="nil"/>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693" w:type="pct"/>
            <w:tcBorders>
              <w:top w:val="nil"/>
              <w:left w:val="nil"/>
              <w:bottom w:val="single" w:sz="4" w:space="0" w:color="auto"/>
              <w:right w:val="single" w:sz="4" w:space="0" w:color="auto"/>
            </w:tcBorders>
            <w:shd w:val="clear" w:color="auto" w:fill="auto"/>
            <w:vAlign w:val="bottom"/>
          </w:tcPr>
          <w:p w:rsidR="00326944" w:rsidRPr="00420644" w:rsidRDefault="00326944">
            <w:pPr>
              <w:rPr>
                <w:sz w:val="18"/>
                <w:szCs w:val="18"/>
              </w:rPr>
            </w:pPr>
            <w:r w:rsidRPr="00420644">
              <w:rPr>
                <w:sz w:val="18"/>
                <w:szCs w:val="18"/>
              </w:rPr>
              <w:t>Atterberg limits above "A" line with PI greater than 7</w:t>
            </w:r>
          </w:p>
        </w:tc>
        <w:tc>
          <w:tcPr>
            <w:tcW w:w="791" w:type="pct"/>
            <w:vMerge/>
            <w:tcBorders>
              <w:top w:val="nil"/>
              <w:left w:val="single" w:sz="4" w:space="0" w:color="auto"/>
              <w:bottom w:val="single" w:sz="4" w:space="0" w:color="auto"/>
              <w:right w:val="double" w:sz="6" w:space="0" w:color="auto"/>
            </w:tcBorders>
            <w:vAlign w:val="center"/>
          </w:tcPr>
          <w:p w:rsidR="00326944" w:rsidRPr="00420644" w:rsidRDefault="00326944">
            <w:pPr>
              <w:rPr>
                <w:sz w:val="18"/>
                <w:szCs w:val="18"/>
              </w:rPr>
            </w:pPr>
          </w:p>
        </w:tc>
      </w:tr>
      <w:tr w:rsidR="00326944" w:rsidRPr="00420644" w:rsidTr="00456FFF">
        <w:tc>
          <w:tcPr>
            <w:tcW w:w="333" w:type="pct"/>
            <w:vMerge/>
            <w:tcBorders>
              <w:top w:val="nil"/>
              <w:left w:val="double" w:sz="6" w:space="0" w:color="auto"/>
              <w:bottom w:val="single" w:sz="4" w:space="0" w:color="auto"/>
              <w:right w:val="single" w:sz="4" w:space="0" w:color="auto"/>
            </w:tcBorders>
            <w:vAlign w:val="center"/>
          </w:tcPr>
          <w:p w:rsidR="00326944" w:rsidRPr="00420644" w:rsidRDefault="00326944">
            <w:pPr>
              <w:rPr>
                <w:sz w:val="18"/>
                <w:szCs w:val="18"/>
              </w:rPr>
            </w:pPr>
          </w:p>
        </w:tc>
        <w:tc>
          <w:tcPr>
            <w:tcW w:w="346" w:type="pct"/>
            <w:vMerge w:val="restart"/>
            <w:tcBorders>
              <w:top w:val="nil"/>
              <w:left w:val="single" w:sz="4" w:space="0" w:color="auto"/>
              <w:bottom w:val="single" w:sz="4" w:space="0" w:color="auto"/>
              <w:right w:val="single" w:sz="4" w:space="0" w:color="auto"/>
            </w:tcBorders>
            <w:shd w:val="clear" w:color="auto" w:fill="auto"/>
            <w:textDirection w:val="btLr"/>
            <w:vAlign w:val="center"/>
          </w:tcPr>
          <w:p w:rsidR="00326944" w:rsidRPr="00420644" w:rsidRDefault="00326944">
            <w:pPr>
              <w:jc w:val="center"/>
              <w:rPr>
                <w:sz w:val="18"/>
                <w:szCs w:val="18"/>
              </w:rPr>
            </w:pPr>
            <w:r w:rsidRPr="00420644">
              <w:rPr>
                <w:sz w:val="18"/>
                <w:szCs w:val="18"/>
              </w:rPr>
              <w:t>Sands</w:t>
            </w:r>
            <w:r w:rsidRPr="00420644">
              <w:rPr>
                <w:sz w:val="18"/>
                <w:szCs w:val="18"/>
              </w:rPr>
              <w:br/>
              <w:t>(More than half of coarse fraction is smaller than No. 4 sieve size)</w:t>
            </w:r>
          </w:p>
        </w:tc>
        <w:tc>
          <w:tcPr>
            <w:tcW w:w="386" w:type="pct"/>
            <w:vMerge w:val="restart"/>
            <w:tcBorders>
              <w:top w:val="nil"/>
              <w:left w:val="single" w:sz="4" w:space="0" w:color="auto"/>
              <w:bottom w:val="single" w:sz="4" w:space="0" w:color="auto"/>
              <w:right w:val="single" w:sz="4" w:space="0" w:color="auto"/>
            </w:tcBorders>
            <w:shd w:val="clear" w:color="auto" w:fill="auto"/>
            <w:textDirection w:val="btLr"/>
            <w:vAlign w:val="center"/>
          </w:tcPr>
          <w:p w:rsidR="00326944" w:rsidRPr="00420644" w:rsidRDefault="00326944">
            <w:pPr>
              <w:jc w:val="center"/>
              <w:rPr>
                <w:sz w:val="18"/>
                <w:szCs w:val="18"/>
              </w:rPr>
            </w:pPr>
            <w:r w:rsidRPr="00420644">
              <w:rPr>
                <w:sz w:val="18"/>
                <w:szCs w:val="18"/>
              </w:rPr>
              <w:t>Clean sands</w:t>
            </w:r>
            <w:r w:rsidRPr="00420644">
              <w:rPr>
                <w:sz w:val="18"/>
                <w:szCs w:val="18"/>
              </w:rPr>
              <w:br/>
              <w:t>(Little to no fines)</w:t>
            </w:r>
          </w:p>
        </w:tc>
        <w:tc>
          <w:tcPr>
            <w:tcW w:w="391" w:type="pct"/>
            <w:gridSpan w:val="2"/>
            <w:tcBorders>
              <w:top w:val="single" w:sz="4" w:space="0" w:color="auto"/>
              <w:left w:val="nil"/>
              <w:bottom w:val="single" w:sz="4" w:space="0" w:color="auto"/>
              <w:right w:val="single" w:sz="4" w:space="0" w:color="auto"/>
            </w:tcBorders>
            <w:shd w:val="clear" w:color="auto" w:fill="auto"/>
            <w:vAlign w:val="center"/>
          </w:tcPr>
          <w:p w:rsidR="00326944" w:rsidRPr="00420644" w:rsidRDefault="00326944">
            <w:pPr>
              <w:jc w:val="center"/>
              <w:rPr>
                <w:sz w:val="18"/>
                <w:szCs w:val="18"/>
              </w:rPr>
            </w:pPr>
            <w:r w:rsidRPr="00420644">
              <w:rPr>
                <w:sz w:val="18"/>
                <w:szCs w:val="18"/>
              </w:rPr>
              <w:t>SW</w:t>
            </w:r>
          </w:p>
        </w:tc>
        <w:tc>
          <w:tcPr>
            <w:tcW w:w="1342" w:type="pct"/>
            <w:tcBorders>
              <w:top w:val="nil"/>
              <w:left w:val="nil"/>
              <w:bottom w:val="single" w:sz="4" w:space="0" w:color="auto"/>
              <w:right w:val="single" w:sz="4" w:space="0" w:color="auto"/>
            </w:tcBorders>
            <w:shd w:val="clear" w:color="auto" w:fill="auto"/>
            <w:vAlign w:val="bottom"/>
          </w:tcPr>
          <w:p w:rsidR="00326944" w:rsidRPr="00420644" w:rsidRDefault="00326944">
            <w:pPr>
              <w:rPr>
                <w:sz w:val="18"/>
                <w:szCs w:val="18"/>
              </w:rPr>
            </w:pPr>
            <w:r w:rsidRPr="00420644">
              <w:rPr>
                <w:sz w:val="18"/>
                <w:szCs w:val="18"/>
              </w:rPr>
              <w:t>Well-graded sands, gravelly sands, little or no fines</w:t>
            </w:r>
          </w:p>
        </w:tc>
        <w:tc>
          <w:tcPr>
            <w:tcW w:w="717" w:type="pct"/>
            <w:vMerge/>
            <w:tcBorders>
              <w:top w:val="nil"/>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1484" w:type="pct"/>
            <w:gridSpan w:val="2"/>
            <w:tcBorders>
              <w:top w:val="single" w:sz="4" w:space="0" w:color="auto"/>
              <w:left w:val="nil"/>
              <w:bottom w:val="single" w:sz="4" w:space="0" w:color="auto"/>
              <w:right w:val="double" w:sz="6" w:space="0" w:color="auto"/>
            </w:tcBorders>
            <w:shd w:val="clear" w:color="auto" w:fill="auto"/>
            <w:vAlign w:val="bottom"/>
          </w:tcPr>
          <w:p w:rsidR="00326944" w:rsidRPr="00420644" w:rsidRDefault="00326944">
            <w:pPr>
              <w:rPr>
                <w:sz w:val="18"/>
                <w:szCs w:val="18"/>
              </w:rPr>
            </w:pPr>
            <w:r w:rsidRPr="00420644">
              <w:rPr>
                <w:sz w:val="18"/>
                <w:szCs w:val="18"/>
              </w:rPr>
              <w:t> </w:t>
            </w:r>
            <w:r w:rsidR="00875859" w:rsidRPr="00875859">
              <w:rPr>
                <w:position w:val="-30"/>
                <w:sz w:val="18"/>
                <w:szCs w:val="18"/>
              </w:rPr>
              <w:object w:dxaOrig="999" w:dyaOrig="680">
                <v:shape id="_x0000_i1027" type="#_x0000_t75" style="width:45.15pt;height:29.9pt" o:ole="">
                  <v:imagedata r:id="rId25" o:title=""/>
                </v:shape>
                <o:OLEObject Type="Embed" ProgID="Equation.3" ShapeID="_x0000_i1027" DrawAspect="Content" ObjectID="_1467003271" r:id="rId29"/>
              </w:object>
            </w:r>
            <w:r w:rsidR="00875859">
              <w:rPr>
                <w:sz w:val="18"/>
                <w:szCs w:val="18"/>
              </w:rPr>
              <w:t xml:space="preserve"> greater than 6; </w:t>
            </w:r>
            <w:r w:rsidR="00875859" w:rsidRPr="00875859">
              <w:rPr>
                <w:position w:val="-30"/>
                <w:sz w:val="18"/>
                <w:szCs w:val="18"/>
              </w:rPr>
              <w:object w:dxaOrig="1520" w:dyaOrig="740">
                <v:shape id="_x0000_i1028" type="#_x0000_t75" style="width:57.95pt;height:28.7pt" o:ole="">
                  <v:imagedata r:id="rId30" o:title=""/>
                </v:shape>
                <o:OLEObject Type="Embed" ProgID="Equation.3" ShapeID="_x0000_i1028" DrawAspect="Content" ObjectID="_1467003272" r:id="rId31"/>
              </w:object>
            </w:r>
            <w:r w:rsidR="00875859">
              <w:rPr>
                <w:sz w:val="18"/>
                <w:szCs w:val="18"/>
              </w:rPr>
              <w:t xml:space="preserve"> between 1 and 3</w:t>
            </w:r>
          </w:p>
        </w:tc>
      </w:tr>
      <w:tr w:rsidR="00326944" w:rsidRPr="00420644" w:rsidTr="00456FFF">
        <w:tc>
          <w:tcPr>
            <w:tcW w:w="333" w:type="pct"/>
            <w:vMerge/>
            <w:tcBorders>
              <w:top w:val="nil"/>
              <w:left w:val="double" w:sz="6" w:space="0" w:color="auto"/>
              <w:bottom w:val="single" w:sz="4" w:space="0" w:color="auto"/>
              <w:right w:val="single" w:sz="4" w:space="0" w:color="auto"/>
            </w:tcBorders>
            <w:vAlign w:val="center"/>
          </w:tcPr>
          <w:p w:rsidR="00326944" w:rsidRPr="00420644" w:rsidRDefault="00326944">
            <w:pPr>
              <w:rPr>
                <w:sz w:val="18"/>
                <w:szCs w:val="18"/>
              </w:rPr>
            </w:pPr>
          </w:p>
        </w:tc>
        <w:tc>
          <w:tcPr>
            <w:tcW w:w="346" w:type="pct"/>
            <w:vMerge/>
            <w:tcBorders>
              <w:top w:val="nil"/>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386" w:type="pct"/>
            <w:vMerge/>
            <w:tcBorders>
              <w:top w:val="nil"/>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391" w:type="pct"/>
            <w:gridSpan w:val="2"/>
            <w:tcBorders>
              <w:top w:val="single" w:sz="4" w:space="0" w:color="auto"/>
              <w:left w:val="nil"/>
              <w:bottom w:val="single" w:sz="4" w:space="0" w:color="auto"/>
              <w:right w:val="single" w:sz="4" w:space="0" w:color="auto"/>
            </w:tcBorders>
            <w:shd w:val="clear" w:color="auto" w:fill="auto"/>
            <w:vAlign w:val="center"/>
          </w:tcPr>
          <w:p w:rsidR="00326944" w:rsidRPr="00420644" w:rsidRDefault="00326944">
            <w:pPr>
              <w:jc w:val="center"/>
              <w:rPr>
                <w:sz w:val="18"/>
                <w:szCs w:val="18"/>
              </w:rPr>
            </w:pPr>
            <w:r w:rsidRPr="00420644">
              <w:rPr>
                <w:sz w:val="18"/>
                <w:szCs w:val="18"/>
              </w:rPr>
              <w:t>SP</w:t>
            </w:r>
          </w:p>
        </w:tc>
        <w:tc>
          <w:tcPr>
            <w:tcW w:w="1342" w:type="pct"/>
            <w:tcBorders>
              <w:top w:val="nil"/>
              <w:left w:val="nil"/>
              <w:bottom w:val="single" w:sz="4" w:space="0" w:color="auto"/>
              <w:right w:val="single" w:sz="4" w:space="0" w:color="auto"/>
            </w:tcBorders>
            <w:shd w:val="clear" w:color="auto" w:fill="auto"/>
            <w:vAlign w:val="bottom"/>
          </w:tcPr>
          <w:p w:rsidR="00326944" w:rsidRPr="00420644" w:rsidRDefault="00326944">
            <w:pPr>
              <w:rPr>
                <w:sz w:val="18"/>
                <w:szCs w:val="18"/>
              </w:rPr>
            </w:pPr>
            <w:r w:rsidRPr="00420644">
              <w:rPr>
                <w:sz w:val="18"/>
                <w:szCs w:val="18"/>
              </w:rPr>
              <w:t>Poorly graded sands, gravelly sands, little or no fines</w:t>
            </w:r>
          </w:p>
        </w:tc>
        <w:tc>
          <w:tcPr>
            <w:tcW w:w="717" w:type="pct"/>
            <w:vMerge/>
            <w:tcBorders>
              <w:top w:val="nil"/>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1484" w:type="pct"/>
            <w:gridSpan w:val="2"/>
            <w:tcBorders>
              <w:top w:val="single" w:sz="4" w:space="0" w:color="auto"/>
              <w:left w:val="nil"/>
              <w:bottom w:val="single" w:sz="4" w:space="0" w:color="auto"/>
              <w:right w:val="double" w:sz="6" w:space="0" w:color="auto"/>
            </w:tcBorders>
            <w:shd w:val="clear" w:color="auto" w:fill="auto"/>
            <w:vAlign w:val="bottom"/>
          </w:tcPr>
          <w:p w:rsidR="00326944" w:rsidRPr="00420644" w:rsidRDefault="00326944">
            <w:pPr>
              <w:rPr>
                <w:sz w:val="18"/>
                <w:szCs w:val="18"/>
              </w:rPr>
            </w:pPr>
            <w:r w:rsidRPr="00420644">
              <w:rPr>
                <w:sz w:val="18"/>
                <w:szCs w:val="18"/>
              </w:rPr>
              <w:t>Not meeting all gradation requirements for SW</w:t>
            </w:r>
          </w:p>
        </w:tc>
      </w:tr>
      <w:tr w:rsidR="00326944" w:rsidRPr="00420644" w:rsidTr="00456FFF">
        <w:tc>
          <w:tcPr>
            <w:tcW w:w="333" w:type="pct"/>
            <w:vMerge/>
            <w:tcBorders>
              <w:top w:val="nil"/>
              <w:left w:val="double" w:sz="6" w:space="0" w:color="auto"/>
              <w:bottom w:val="single" w:sz="4" w:space="0" w:color="auto"/>
              <w:right w:val="single" w:sz="4" w:space="0" w:color="auto"/>
            </w:tcBorders>
            <w:vAlign w:val="center"/>
          </w:tcPr>
          <w:p w:rsidR="00326944" w:rsidRPr="00420644" w:rsidRDefault="00326944">
            <w:pPr>
              <w:rPr>
                <w:sz w:val="18"/>
                <w:szCs w:val="18"/>
              </w:rPr>
            </w:pPr>
          </w:p>
        </w:tc>
        <w:tc>
          <w:tcPr>
            <w:tcW w:w="346" w:type="pct"/>
            <w:vMerge/>
            <w:tcBorders>
              <w:top w:val="nil"/>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386" w:type="pct"/>
            <w:vMerge w:val="restart"/>
            <w:tcBorders>
              <w:top w:val="nil"/>
              <w:left w:val="single" w:sz="4" w:space="0" w:color="auto"/>
              <w:bottom w:val="single" w:sz="4" w:space="0" w:color="auto"/>
              <w:right w:val="single" w:sz="4" w:space="0" w:color="auto"/>
            </w:tcBorders>
            <w:shd w:val="clear" w:color="auto" w:fill="auto"/>
            <w:textDirection w:val="btLr"/>
            <w:vAlign w:val="center"/>
          </w:tcPr>
          <w:p w:rsidR="00326944" w:rsidRPr="00420644" w:rsidRDefault="00326944">
            <w:pPr>
              <w:jc w:val="center"/>
              <w:rPr>
                <w:sz w:val="18"/>
                <w:szCs w:val="18"/>
              </w:rPr>
            </w:pPr>
            <w:r w:rsidRPr="00420644">
              <w:rPr>
                <w:sz w:val="18"/>
                <w:szCs w:val="18"/>
              </w:rPr>
              <w:t>Sands with fines</w:t>
            </w:r>
            <w:r w:rsidRPr="00420644">
              <w:rPr>
                <w:sz w:val="18"/>
                <w:szCs w:val="18"/>
              </w:rPr>
              <w:br/>
              <w:t>(Appreciable amount of fines)</w:t>
            </w:r>
          </w:p>
        </w:tc>
        <w:tc>
          <w:tcPr>
            <w:tcW w:w="233" w:type="pct"/>
            <w:vMerge w:val="restart"/>
            <w:tcBorders>
              <w:top w:val="nil"/>
              <w:left w:val="single" w:sz="4" w:space="0" w:color="auto"/>
              <w:bottom w:val="single" w:sz="4" w:space="0" w:color="auto"/>
              <w:right w:val="single" w:sz="4" w:space="0" w:color="auto"/>
            </w:tcBorders>
            <w:shd w:val="clear" w:color="auto" w:fill="auto"/>
            <w:vAlign w:val="center"/>
          </w:tcPr>
          <w:p w:rsidR="00326944" w:rsidRPr="00420644" w:rsidRDefault="00326944">
            <w:pPr>
              <w:jc w:val="center"/>
              <w:rPr>
                <w:sz w:val="18"/>
                <w:szCs w:val="18"/>
              </w:rPr>
            </w:pPr>
            <w:r w:rsidRPr="00420644">
              <w:rPr>
                <w:sz w:val="18"/>
                <w:szCs w:val="18"/>
              </w:rPr>
              <w:t>SM*</w:t>
            </w:r>
          </w:p>
        </w:tc>
        <w:tc>
          <w:tcPr>
            <w:tcW w:w="158" w:type="pct"/>
            <w:tcBorders>
              <w:top w:val="nil"/>
              <w:left w:val="nil"/>
              <w:bottom w:val="single" w:sz="4" w:space="0" w:color="auto"/>
              <w:right w:val="single" w:sz="4" w:space="0" w:color="auto"/>
            </w:tcBorders>
            <w:shd w:val="clear" w:color="auto" w:fill="auto"/>
            <w:vAlign w:val="center"/>
          </w:tcPr>
          <w:p w:rsidR="00326944" w:rsidRPr="00420644" w:rsidRDefault="00326944">
            <w:pPr>
              <w:jc w:val="center"/>
              <w:rPr>
                <w:sz w:val="18"/>
                <w:szCs w:val="18"/>
              </w:rPr>
            </w:pPr>
            <w:r w:rsidRPr="00420644">
              <w:rPr>
                <w:sz w:val="18"/>
                <w:szCs w:val="18"/>
              </w:rPr>
              <w:t>d</w:t>
            </w:r>
          </w:p>
        </w:tc>
        <w:tc>
          <w:tcPr>
            <w:tcW w:w="1342" w:type="pct"/>
            <w:vMerge w:val="restart"/>
            <w:tcBorders>
              <w:top w:val="nil"/>
              <w:left w:val="single" w:sz="4" w:space="0" w:color="auto"/>
              <w:bottom w:val="single" w:sz="4" w:space="0" w:color="auto"/>
              <w:right w:val="single" w:sz="4" w:space="0" w:color="auto"/>
            </w:tcBorders>
            <w:shd w:val="clear" w:color="auto" w:fill="auto"/>
            <w:vAlign w:val="bottom"/>
          </w:tcPr>
          <w:p w:rsidR="00326944" w:rsidRPr="00420644" w:rsidRDefault="00326944">
            <w:pPr>
              <w:jc w:val="center"/>
              <w:rPr>
                <w:sz w:val="18"/>
                <w:szCs w:val="18"/>
              </w:rPr>
            </w:pPr>
            <w:r w:rsidRPr="00420644">
              <w:rPr>
                <w:sz w:val="18"/>
                <w:szCs w:val="18"/>
              </w:rPr>
              <w:t>Silty sands, sand-silt mixtures</w:t>
            </w:r>
          </w:p>
        </w:tc>
        <w:tc>
          <w:tcPr>
            <w:tcW w:w="717" w:type="pct"/>
            <w:vMerge/>
            <w:tcBorders>
              <w:top w:val="nil"/>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693" w:type="pct"/>
            <w:vMerge w:val="restart"/>
            <w:tcBorders>
              <w:top w:val="nil"/>
              <w:left w:val="single" w:sz="4" w:space="0" w:color="auto"/>
              <w:bottom w:val="single" w:sz="4" w:space="0" w:color="auto"/>
              <w:right w:val="single" w:sz="4" w:space="0" w:color="auto"/>
            </w:tcBorders>
            <w:shd w:val="clear" w:color="auto" w:fill="auto"/>
            <w:vAlign w:val="bottom"/>
          </w:tcPr>
          <w:p w:rsidR="00326944" w:rsidRPr="00420644" w:rsidRDefault="00326944">
            <w:pPr>
              <w:rPr>
                <w:sz w:val="18"/>
                <w:szCs w:val="18"/>
              </w:rPr>
            </w:pPr>
            <w:r w:rsidRPr="00420644">
              <w:rPr>
                <w:sz w:val="18"/>
                <w:szCs w:val="18"/>
              </w:rPr>
              <w:t>Atterberg limits below "A" line or PI less than 4</w:t>
            </w:r>
          </w:p>
        </w:tc>
        <w:tc>
          <w:tcPr>
            <w:tcW w:w="791" w:type="pct"/>
            <w:vMerge w:val="restart"/>
            <w:tcBorders>
              <w:top w:val="nil"/>
              <w:left w:val="single" w:sz="4" w:space="0" w:color="auto"/>
              <w:bottom w:val="single" w:sz="4" w:space="0" w:color="auto"/>
              <w:right w:val="double" w:sz="6" w:space="0" w:color="auto"/>
            </w:tcBorders>
            <w:shd w:val="clear" w:color="auto" w:fill="auto"/>
            <w:vAlign w:val="bottom"/>
          </w:tcPr>
          <w:p w:rsidR="00326944" w:rsidRPr="00420644" w:rsidRDefault="00326944">
            <w:pPr>
              <w:rPr>
                <w:sz w:val="18"/>
                <w:szCs w:val="18"/>
              </w:rPr>
            </w:pPr>
            <w:r w:rsidRPr="00420644">
              <w:rPr>
                <w:sz w:val="18"/>
                <w:szCs w:val="18"/>
              </w:rPr>
              <w:t>Limits plotting in hatched zone with PI between 4 and 7 are borderline cases requiring use of dual symbols</w:t>
            </w:r>
          </w:p>
        </w:tc>
      </w:tr>
      <w:tr w:rsidR="00326944" w:rsidRPr="00420644" w:rsidTr="00456FFF">
        <w:tc>
          <w:tcPr>
            <w:tcW w:w="333" w:type="pct"/>
            <w:vMerge/>
            <w:tcBorders>
              <w:top w:val="nil"/>
              <w:left w:val="double" w:sz="6" w:space="0" w:color="auto"/>
              <w:bottom w:val="single" w:sz="4" w:space="0" w:color="auto"/>
              <w:right w:val="single" w:sz="4" w:space="0" w:color="auto"/>
            </w:tcBorders>
            <w:vAlign w:val="center"/>
          </w:tcPr>
          <w:p w:rsidR="00326944" w:rsidRPr="00420644" w:rsidRDefault="00326944">
            <w:pPr>
              <w:rPr>
                <w:sz w:val="18"/>
                <w:szCs w:val="18"/>
              </w:rPr>
            </w:pPr>
          </w:p>
        </w:tc>
        <w:tc>
          <w:tcPr>
            <w:tcW w:w="346" w:type="pct"/>
            <w:vMerge/>
            <w:tcBorders>
              <w:top w:val="nil"/>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386" w:type="pct"/>
            <w:vMerge/>
            <w:tcBorders>
              <w:top w:val="nil"/>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233" w:type="pct"/>
            <w:vMerge/>
            <w:tcBorders>
              <w:top w:val="nil"/>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158" w:type="pct"/>
            <w:tcBorders>
              <w:top w:val="nil"/>
              <w:left w:val="nil"/>
              <w:bottom w:val="single" w:sz="4" w:space="0" w:color="auto"/>
              <w:right w:val="single" w:sz="4" w:space="0" w:color="auto"/>
            </w:tcBorders>
            <w:shd w:val="clear" w:color="auto" w:fill="auto"/>
            <w:vAlign w:val="center"/>
          </w:tcPr>
          <w:p w:rsidR="00326944" w:rsidRPr="00420644" w:rsidRDefault="00326944">
            <w:pPr>
              <w:jc w:val="center"/>
              <w:rPr>
                <w:sz w:val="18"/>
                <w:szCs w:val="18"/>
              </w:rPr>
            </w:pPr>
            <w:r w:rsidRPr="00420644">
              <w:rPr>
                <w:sz w:val="18"/>
                <w:szCs w:val="18"/>
              </w:rPr>
              <w:t>u</w:t>
            </w:r>
          </w:p>
        </w:tc>
        <w:tc>
          <w:tcPr>
            <w:tcW w:w="1342" w:type="pct"/>
            <w:vMerge/>
            <w:tcBorders>
              <w:top w:val="nil"/>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717" w:type="pct"/>
            <w:vMerge/>
            <w:tcBorders>
              <w:top w:val="nil"/>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693" w:type="pct"/>
            <w:vMerge/>
            <w:tcBorders>
              <w:top w:val="nil"/>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791" w:type="pct"/>
            <w:vMerge/>
            <w:tcBorders>
              <w:top w:val="nil"/>
              <w:left w:val="single" w:sz="4" w:space="0" w:color="auto"/>
              <w:bottom w:val="single" w:sz="4" w:space="0" w:color="auto"/>
              <w:right w:val="double" w:sz="6" w:space="0" w:color="auto"/>
            </w:tcBorders>
            <w:vAlign w:val="center"/>
          </w:tcPr>
          <w:p w:rsidR="00326944" w:rsidRPr="00420644" w:rsidRDefault="00326944">
            <w:pPr>
              <w:rPr>
                <w:sz w:val="18"/>
                <w:szCs w:val="18"/>
              </w:rPr>
            </w:pPr>
          </w:p>
        </w:tc>
      </w:tr>
      <w:tr w:rsidR="00326944" w:rsidRPr="00420644" w:rsidTr="00456FFF">
        <w:tc>
          <w:tcPr>
            <w:tcW w:w="333" w:type="pct"/>
            <w:vMerge/>
            <w:tcBorders>
              <w:top w:val="nil"/>
              <w:left w:val="double" w:sz="6" w:space="0" w:color="auto"/>
              <w:bottom w:val="single" w:sz="4" w:space="0" w:color="auto"/>
              <w:right w:val="single" w:sz="4" w:space="0" w:color="auto"/>
            </w:tcBorders>
            <w:vAlign w:val="center"/>
          </w:tcPr>
          <w:p w:rsidR="00326944" w:rsidRPr="00420644" w:rsidRDefault="00326944">
            <w:pPr>
              <w:rPr>
                <w:sz w:val="18"/>
                <w:szCs w:val="18"/>
              </w:rPr>
            </w:pPr>
          </w:p>
        </w:tc>
        <w:tc>
          <w:tcPr>
            <w:tcW w:w="346" w:type="pct"/>
            <w:vMerge/>
            <w:tcBorders>
              <w:top w:val="nil"/>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386" w:type="pct"/>
            <w:vMerge/>
            <w:tcBorders>
              <w:top w:val="nil"/>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391" w:type="pct"/>
            <w:gridSpan w:val="2"/>
            <w:tcBorders>
              <w:top w:val="single" w:sz="4" w:space="0" w:color="auto"/>
              <w:left w:val="nil"/>
              <w:bottom w:val="single" w:sz="4" w:space="0" w:color="auto"/>
              <w:right w:val="single" w:sz="4" w:space="0" w:color="auto"/>
            </w:tcBorders>
            <w:shd w:val="clear" w:color="auto" w:fill="auto"/>
            <w:vAlign w:val="center"/>
          </w:tcPr>
          <w:p w:rsidR="00326944" w:rsidRPr="00420644" w:rsidRDefault="00326944">
            <w:pPr>
              <w:jc w:val="center"/>
              <w:rPr>
                <w:sz w:val="18"/>
                <w:szCs w:val="18"/>
              </w:rPr>
            </w:pPr>
            <w:r w:rsidRPr="00420644">
              <w:rPr>
                <w:sz w:val="18"/>
                <w:szCs w:val="18"/>
              </w:rPr>
              <w:t>SC</w:t>
            </w:r>
          </w:p>
        </w:tc>
        <w:tc>
          <w:tcPr>
            <w:tcW w:w="1342" w:type="pct"/>
            <w:tcBorders>
              <w:top w:val="nil"/>
              <w:left w:val="nil"/>
              <w:bottom w:val="single" w:sz="4" w:space="0" w:color="auto"/>
              <w:right w:val="single" w:sz="4" w:space="0" w:color="auto"/>
            </w:tcBorders>
            <w:shd w:val="clear" w:color="auto" w:fill="auto"/>
            <w:vAlign w:val="bottom"/>
          </w:tcPr>
          <w:p w:rsidR="00326944" w:rsidRPr="00420644" w:rsidRDefault="00326944">
            <w:pPr>
              <w:rPr>
                <w:sz w:val="18"/>
                <w:szCs w:val="18"/>
              </w:rPr>
            </w:pPr>
            <w:r w:rsidRPr="00420644">
              <w:rPr>
                <w:sz w:val="18"/>
                <w:szCs w:val="18"/>
              </w:rPr>
              <w:t>Clayey sands, sand-clay mixtures</w:t>
            </w:r>
          </w:p>
        </w:tc>
        <w:tc>
          <w:tcPr>
            <w:tcW w:w="717" w:type="pct"/>
            <w:vMerge/>
            <w:tcBorders>
              <w:top w:val="nil"/>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693" w:type="pct"/>
            <w:tcBorders>
              <w:top w:val="nil"/>
              <w:left w:val="nil"/>
              <w:bottom w:val="single" w:sz="4" w:space="0" w:color="auto"/>
              <w:right w:val="single" w:sz="4" w:space="0" w:color="auto"/>
            </w:tcBorders>
            <w:shd w:val="clear" w:color="auto" w:fill="auto"/>
            <w:vAlign w:val="bottom"/>
          </w:tcPr>
          <w:p w:rsidR="00326944" w:rsidRPr="00420644" w:rsidRDefault="00326944">
            <w:pPr>
              <w:rPr>
                <w:sz w:val="18"/>
                <w:szCs w:val="18"/>
              </w:rPr>
            </w:pPr>
            <w:r w:rsidRPr="00420644">
              <w:rPr>
                <w:sz w:val="18"/>
                <w:szCs w:val="18"/>
              </w:rPr>
              <w:t>Atterberg limits above "A" line with PI greater than 7</w:t>
            </w:r>
          </w:p>
        </w:tc>
        <w:tc>
          <w:tcPr>
            <w:tcW w:w="791" w:type="pct"/>
            <w:vMerge/>
            <w:tcBorders>
              <w:top w:val="nil"/>
              <w:left w:val="single" w:sz="4" w:space="0" w:color="auto"/>
              <w:bottom w:val="single" w:sz="4" w:space="0" w:color="auto"/>
              <w:right w:val="double" w:sz="6" w:space="0" w:color="auto"/>
            </w:tcBorders>
            <w:vAlign w:val="center"/>
          </w:tcPr>
          <w:p w:rsidR="00326944" w:rsidRPr="00420644" w:rsidRDefault="00326944">
            <w:pPr>
              <w:rPr>
                <w:sz w:val="18"/>
                <w:szCs w:val="18"/>
              </w:rPr>
            </w:pPr>
          </w:p>
        </w:tc>
      </w:tr>
      <w:tr w:rsidR="00420644" w:rsidRPr="00420644" w:rsidTr="00456FFF">
        <w:tc>
          <w:tcPr>
            <w:tcW w:w="333" w:type="pct"/>
            <w:vMerge w:val="restart"/>
            <w:tcBorders>
              <w:top w:val="nil"/>
              <w:left w:val="double" w:sz="6" w:space="0" w:color="auto"/>
              <w:bottom w:val="double" w:sz="6" w:space="0" w:color="000000"/>
              <w:right w:val="single" w:sz="4" w:space="0" w:color="auto"/>
            </w:tcBorders>
            <w:shd w:val="clear" w:color="auto" w:fill="auto"/>
            <w:textDirection w:val="btLr"/>
            <w:vAlign w:val="center"/>
          </w:tcPr>
          <w:p w:rsidR="00326944" w:rsidRPr="00420644" w:rsidRDefault="00326944">
            <w:pPr>
              <w:jc w:val="center"/>
              <w:rPr>
                <w:sz w:val="18"/>
                <w:szCs w:val="18"/>
              </w:rPr>
            </w:pPr>
            <w:r w:rsidRPr="00420644">
              <w:rPr>
                <w:sz w:val="18"/>
                <w:szCs w:val="18"/>
              </w:rPr>
              <w:t>Fine-grained soils</w:t>
            </w:r>
            <w:r w:rsidRPr="00420644">
              <w:rPr>
                <w:sz w:val="18"/>
                <w:szCs w:val="18"/>
              </w:rPr>
              <w:br/>
              <w:t>(More than half material is smaller than No. 200 sieve)</w:t>
            </w:r>
          </w:p>
        </w:tc>
        <w:tc>
          <w:tcPr>
            <w:tcW w:w="732" w:type="pct"/>
            <w:gridSpan w:val="2"/>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326944" w:rsidRPr="00420644" w:rsidRDefault="00326944">
            <w:pPr>
              <w:jc w:val="center"/>
              <w:rPr>
                <w:sz w:val="18"/>
                <w:szCs w:val="18"/>
              </w:rPr>
            </w:pPr>
            <w:r w:rsidRPr="00420644">
              <w:rPr>
                <w:sz w:val="18"/>
                <w:szCs w:val="18"/>
              </w:rPr>
              <w:t>Silts and clays</w:t>
            </w:r>
            <w:r w:rsidRPr="00420644">
              <w:rPr>
                <w:sz w:val="18"/>
                <w:szCs w:val="18"/>
              </w:rPr>
              <w:br/>
              <w:t>(Liquid limit less than 50)</w:t>
            </w:r>
          </w:p>
        </w:tc>
        <w:tc>
          <w:tcPr>
            <w:tcW w:w="391" w:type="pct"/>
            <w:gridSpan w:val="2"/>
            <w:tcBorders>
              <w:top w:val="single" w:sz="4" w:space="0" w:color="auto"/>
              <w:left w:val="nil"/>
              <w:bottom w:val="single" w:sz="4" w:space="0" w:color="auto"/>
              <w:right w:val="single" w:sz="4" w:space="0" w:color="auto"/>
            </w:tcBorders>
            <w:shd w:val="clear" w:color="auto" w:fill="auto"/>
            <w:vAlign w:val="center"/>
          </w:tcPr>
          <w:p w:rsidR="00326944" w:rsidRPr="00420644" w:rsidRDefault="00326944">
            <w:pPr>
              <w:jc w:val="center"/>
              <w:rPr>
                <w:sz w:val="18"/>
                <w:szCs w:val="18"/>
              </w:rPr>
            </w:pPr>
            <w:r w:rsidRPr="00420644">
              <w:rPr>
                <w:sz w:val="18"/>
                <w:szCs w:val="18"/>
              </w:rPr>
              <w:t>ML</w:t>
            </w:r>
          </w:p>
        </w:tc>
        <w:tc>
          <w:tcPr>
            <w:tcW w:w="1342" w:type="pct"/>
            <w:tcBorders>
              <w:top w:val="nil"/>
              <w:left w:val="nil"/>
              <w:bottom w:val="single" w:sz="4" w:space="0" w:color="auto"/>
              <w:right w:val="single" w:sz="4" w:space="0" w:color="auto"/>
            </w:tcBorders>
            <w:shd w:val="clear" w:color="auto" w:fill="auto"/>
            <w:vAlign w:val="center"/>
          </w:tcPr>
          <w:p w:rsidR="00326944" w:rsidRPr="00420644" w:rsidRDefault="00326944">
            <w:pPr>
              <w:rPr>
                <w:sz w:val="18"/>
                <w:szCs w:val="18"/>
              </w:rPr>
            </w:pPr>
            <w:r w:rsidRPr="00420644">
              <w:rPr>
                <w:sz w:val="18"/>
                <w:szCs w:val="18"/>
              </w:rPr>
              <w:t>Inorganic silts and very fine sands, rock flour, silty or clayey fine sands, or clayey silts with slight plasticity</w:t>
            </w:r>
          </w:p>
        </w:tc>
        <w:tc>
          <w:tcPr>
            <w:tcW w:w="2201" w:type="pct"/>
            <w:gridSpan w:val="3"/>
            <w:vMerge w:val="restart"/>
            <w:tcBorders>
              <w:top w:val="single" w:sz="4" w:space="0" w:color="auto"/>
              <w:left w:val="single" w:sz="4" w:space="0" w:color="auto"/>
              <w:bottom w:val="double" w:sz="6" w:space="0" w:color="000000"/>
              <w:right w:val="double" w:sz="6" w:space="0" w:color="auto"/>
            </w:tcBorders>
            <w:shd w:val="clear" w:color="auto" w:fill="auto"/>
            <w:vAlign w:val="center"/>
          </w:tcPr>
          <w:p w:rsidR="00326944" w:rsidRPr="00420644" w:rsidRDefault="00983B36">
            <w:pPr>
              <w:jc w:val="center"/>
              <w:rPr>
                <w:sz w:val="18"/>
                <w:szCs w:val="18"/>
              </w:rPr>
            </w:pPr>
            <w:r>
              <w:rPr>
                <w:noProof/>
                <w:sz w:val="18"/>
                <w:szCs w:val="18"/>
              </w:rPr>
              <w:drawing>
                <wp:inline distT="0" distB="0" distL="0" distR="0">
                  <wp:extent cx="2468880" cy="2321994"/>
                  <wp:effectExtent l="19050" t="0" r="762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32" cstate="print"/>
                          <a:srcRect/>
                          <a:stretch>
                            <a:fillRect/>
                          </a:stretch>
                        </pic:blipFill>
                        <pic:spPr bwMode="auto">
                          <a:xfrm>
                            <a:off x="0" y="0"/>
                            <a:ext cx="2468880" cy="2321994"/>
                          </a:xfrm>
                          <a:prstGeom prst="rect">
                            <a:avLst/>
                          </a:prstGeom>
                          <a:noFill/>
                          <a:ln w="9525">
                            <a:noFill/>
                            <a:miter lim="800000"/>
                            <a:headEnd/>
                            <a:tailEnd/>
                          </a:ln>
                        </pic:spPr>
                      </pic:pic>
                    </a:graphicData>
                  </a:graphic>
                </wp:inline>
              </w:drawing>
            </w:r>
          </w:p>
        </w:tc>
      </w:tr>
      <w:tr w:rsidR="00420644" w:rsidRPr="00420644" w:rsidTr="00456FFF">
        <w:tc>
          <w:tcPr>
            <w:tcW w:w="333" w:type="pct"/>
            <w:vMerge/>
            <w:tcBorders>
              <w:top w:val="nil"/>
              <w:left w:val="double" w:sz="6" w:space="0" w:color="auto"/>
              <w:bottom w:val="double" w:sz="6" w:space="0" w:color="000000"/>
              <w:right w:val="single" w:sz="4" w:space="0" w:color="auto"/>
            </w:tcBorders>
            <w:vAlign w:val="center"/>
          </w:tcPr>
          <w:p w:rsidR="00326944" w:rsidRPr="00420644" w:rsidRDefault="00326944">
            <w:pPr>
              <w:rPr>
                <w:sz w:val="18"/>
                <w:szCs w:val="18"/>
              </w:rPr>
            </w:pPr>
          </w:p>
        </w:tc>
        <w:tc>
          <w:tcPr>
            <w:tcW w:w="732" w:type="pct"/>
            <w:gridSpan w:val="2"/>
            <w:vMerge/>
            <w:tcBorders>
              <w:top w:val="single" w:sz="4" w:space="0" w:color="auto"/>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391" w:type="pct"/>
            <w:gridSpan w:val="2"/>
            <w:tcBorders>
              <w:top w:val="single" w:sz="4" w:space="0" w:color="auto"/>
              <w:left w:val="nil"/>
              <w:bottom w:val="single" w:sz="4" w:space="0" w:color="auto"/>
              <w:right w:val="single" w:sz="4" w:space="0" w:color="auto"/>
            </w:tcBorders>
            <w:shd w:val="clear" w:color="auto" w:fill="auto"/>
            <w:vAlign w:val="center"/>
          </w:tcPr>
          <w:p w:rsidR="00326944" w:rsidRPr="00420644" w:rsidRDefault="00326944">
            <w:pPr>
              <w:jc w:val="center"/>
              <w:rPr>
                <w:sz w:val="18"/>
                <w:szCs w:val="18"/>
              </w:rPr>
            </w:pPr>
            <w:r w:rsidRPr="00420644">
              <w:rPr>
                <w:sz w:val="18"/>
                <w:szCs w:val="18"/>
              </w:rPr>
              <w:t>CL</w:t>
            </w:r>
          </w:p>
        </w:tc>
        <w:tc>
          <w:tcPr>
            <w:tcW w:w="1342" w:type="pct"/>
            <w:tcBorders>
              <w:top w:val="nil"/>
              <w:left w:val="nil"/>
              <w:bottom w:val="single" w:sz="4" w:space="0" w:color="auto"/>
              <w:right w:val="single" w:sz="4" w:space="0" w:color="auto"/>
            </w:tcBorders>
            <w:shd w:val="clear" w:color="auto" w:fill="auto"/>
            <w:vAlign w:val="center"/>
          </w:tcPr>
          <w:p w:rsidR="00326944" w:rsidRPr="00420644" w:rsidRDefault="00326944">
            <w:pPr>
              <w:rPr>
                <w:sz w:val="18"/>
                <w:szCs w:val="18"/>
              </w:rPr>
            </w:pPr>
            <w:r w:rsidRPr="00420644">
              <w:rPr>
                <w:sz w:val="18"/>
                <w:szCs w:val="18"/>
              </w:rPr>
              <w:t>Inorganic clays of low to medium plasticity, gravelly clays, sandy clays, silty clays, lean clays</w:t>
            </w:r>
          </w:p>
        </w:tc>
        <w:tc>
          <w:tcPr>
            <w:tcW w:w="2201" w:type="pct"/>
            <w:gridSpan w:val="3"/>
            <w:vMerge/>
            <w:tcBorders>
              <w:top w:val="nil"/>
              <w:left w:val="nil"/>
              <w:bottom w:val="single" w:sz="4" w:space="0" w:color="auto"/>
              <w:right w:val="double" w:sz="6" w:space="0" w:color="auto"/>
            </w:tcBorders>
            <w:vAlign w:val="center"/>
          </w:tcPr>
          <w:p w:rsidR="00326944" w:rsidRPr="00420644" w:rsidRDefault="00326944">
            <w:pPr>
              <w:rPr>
                <w:sz w:val="18"/>
                <w:szCs w:val="18"/>
              </w:rPr>
            </w:pPr>
          </w:p>
        </w:tc>
      </w:tr>
      <w:tr w:rsidR="00420644" w:rsidRPr="00420644" w:rsidTr="00456FFF">
        <w:tc>
          <w:tcPr>
            <w:tcW w:w="333" w:type="pct"/>
            <w:vMerge/>
            <w:tcBorders>
              <w:top w:val="nil"/>
              <w:left w:val="double" w:sz="6" w:space="0" w:color="auto"/>
              <w:bottom w:val="double" w:sz="6" w:space="0" w:color="000000"/>
              <w:right w:val="single" w:sz="4" w:space="0" w:color="auto"/>
            </w:tcBorders>
            <w:vAlign w:val="center"/>
          </w:tcPr>
          <w:p w:rsidR="00326944" w:rsidRPr="00420644" w:rsidRDefault="00326944">
            <w:pPr>
              <w:rPr>
                <w:sz w:val="18"/>
                <w:szCs w:val="18"/>
              </w:rPr>
            </w:pPr>
          </w:p>
        </w:tc>
        <w:tc>
          <w:tcPr>
            <w:tcW w:w="732" w:type="pct"/>
            <w:gridSpan w:val="2"/>
            <w:vMerge/>
            <w:tcBorders>
              <w:top w:val="single" w:sz="4" w:space="0" w:color="auto"/>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391" w:type="pct"/>
            <w:gridSpan w:val="2"/>
            <w:tcBorders>
              <w:top w:val="single" w:sz="4" w:space="0" w:color="auto"/>
              <w:left w:val="nil"/>
              <w:bottom w:val="single" w:sz="4" w:space="0" w:color="auto"/>
              <w:right w:val="single" w:sz="4" w:space="0" w:color="auto"/>
            </w:tcBorders>
            <w:shd w:val="clear" w:color="auto" w:fill="auto"/>
            <w:vAlign w:val="center"/>
          </w:tcPr>
          <w:p w:rsidR="00326944" w:rsidRPr="00420644" w:rsidRDefault="00326944">
            <w:pPr>
              <w:jc w:val="center"/>
              <w:rPr>
                <w:sz w:val="18"/>
                <w:szCs w:val="18"/>
              </w:rPr>
            </w:pPr>
            <w:r w:rsidRPr="00420644">
              <w:rPr>
                <w:sz w:val="18"/>
                <w:szCs w:val="18"/>
              </w:rPr>
              <w:t>OL</w:t>
            </w:r>
          </w:p>
        </w:tc>
        <w:tc>
          <w:tcPr>
            <w:tcW w:w="1342" w:type="pct"/>
            <w:tcBorders>
              <w:top w:val="nil"/>
              <w:left w:val="nil"/>
              <w:bottom w:val="single" w:sz="4" w:space="0" w:color="auto"/>
              <w:right w:val="single" w:sz="4" w:space="0" w:color="auto"/>
            </w:tcBorders>
            <w:shd w:val="clear" w:color="auto" w:fill="auto"/>
            <w:vAlign w:val="center"/>
          </w:tcPr>
          <w:p w:rsidR="00326944" w:rsidRPr="00420644" w:rsidRDefault="00326944">
            <w:pPr>
              <w:rPr>
                <w:sz w:val="18"/>
                <w:szCs w:val="18"/>
              </w:rPr>
            </w:pPr>
            <w:r w:rsidRPr="00420644">
              <w:rPr>
                <w:sz w:val="18"/>
                <w:szCs w:val="18"/>
              </w:rPr>
              <w:t>Organic silts and organic silty clays of low plasticity</w:t>
            </w:r>
          </w:p>
        </w:tc>
        <w:tc>
          <w:tcPr>
            <w:tcW w:w="2201" w:type="pct"/>
            <w:gridSpan w:val="3"/>
            <w:vMerge/>
            <w:tcBorders>
              <w:top w:val="nil"/>
              <w:left w:val="nil"/>
              <w:bottom w:val="single" w:sz="4" w:space="0" w:color="auto"/>
              <w:right w:val="double" w:sz="6" w:space="0" w:color="auto"/>
            </w:tcBorders>
            <w:vAlign w:val="center"/>
          </w:tcPr>
          <w:p w:rsidR="00326944" w:rsidRPr="00420644" w:rsidRDefault="00326944">
            <w:pPr>
              <w:rPr>
                <w:sz w:val="18"/>
                <w:szCs w:val="18"/>
              </w:rPr>
            </w:pPr>
          </w:p>
        </w:tc>
      </w:tr>
      <w:tr w:rsidR="00420644" w:rsidRPr="00420644" w:rsidTr="00456FFF">
        <w:tc>
          <w:tcPr>
            <w:tcW w:w="333" w:type="pct"/>
            <w:vMerge/>
            <w:tcBorders>
              <w:top w:val="nil"/>
              <w:left w:val="double" w:sz="6" w:space="0" w:color="auto"/>
              <w:bottom w:val="double" w:sz="6" w:space="0" w:color="000000"/>
              <w:right w:val="single" w:sz="4" w:space="0" w:color="auto"/>
            </w:tcBorders>
            <w:vAlign w:val="center"/>
          </w:tcPr>
          <w:p w:rsidR="00326944" w:rsidRPr="00420644" w:rsidRDefault="00326944">
            <w:pPr>
              <w:rPr>
                <w:sz w:val="18"/>
                <w:szCs w:val="18"/>
              </w:rPr>
            </w:pPr>
          </w:p>
        </w:tc>
        <w:tc>
          <w:tcPr>
            <w:tcW w:w="732" w:type="pct"/>
            <w:gridSpan w:val="2"/>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326944" w:rsidRPr="00420644" w:rsidRDefault="00326944">
            <w:pPr>
              <w:jc w:val="center"/>
              <w:rPr>
                <w:sz w:val="18"/>
                <w:szCs w:val="18"/>
              </w:rPr>
            </w:pPr>
            <w:r w:rsidRPr="00420644">
              <w:rPr>
                <w:sz w:val="18"/>
                <w:szCs w:val="18"/>
              </w:rPr>
              <w:t>Silts and clays</w:t>
            </w:r>
            <w:r w:rsidRPr="00420644">
              <w:rPr>
                <w:sz w:val="18"/>
                <w:szCs w:val="18"/>
              </w:rPr>
              <w:br/>
              <w:t>(Liquid limit greater than 50)</w:t>
            </w:r>
          </w:p>
        </w:tc>
        <w:tc>
          <w:tcPr>
            <w:tcW w:w="391" w:type="pct"/>
            <w:gridSpan w:val="2"/>
            <w:tcBorders>
              <w:top w:val="single" w:sz="4" w:space="0" w:color="auto"/>
              <w:left w:val="nil"/>
              <w:bottom w:val="single" w:sz="4" w:space="0" w:color="auto"/>
              <w:right w:val="single" w:sz="4" w:space="0" w:color="auto"/>
            </w:tcBorders>
            <w:shd w:val="clear" w:color="auto" w:fill="auto"/>
            <w:vAlign w:val="center"/>
          </w:tcPr>
          <w:p w:rsidR="00326944" w:rsidRPr="00420644" w:rsidRDefault="00326944">
            <w:pPr>
              <w:jc w:val="center"/>
              <w:rPr>
                <w:sz w:val="18"/>
                <w:szCs w:val="18"/>
              </w:rPr>
            </w:pPr>
            <w:r w:rsidRPr="00420644">
              <w:rPr>
                <w:sz w:val="18"/>
                <w:szCs w:val="18"/>
              </w:rPr>
              <w:t>MH</w:t>
            </w:r>
          </w:p>
        </w:tc>
        <w:tc>
          <w:tcPr>
            <w:tcW w:w="1342" w:type="pct"/>
            <w:tcBorders>
              <w:top w:val="nil"/>
              <w:left w:val="nil"/>
              <w:bottom w:val="single" w:sz="4" w:space="0" w:color="auto"/>
              <w:right w:val="single" w:sz="4" w:space="0" w:color="auto"/>
            </w:tcBorders>
            <w:shd w:val="clear" w:color="auto" w:fill="auto"/>
            <w:vAlign w:val="center"/>
          </w:tcPr>
          <w:p w:rsidR="00326944" w:rsidRPr="00420644" w:rsidRDefault="00326944">
            <w:pPr>
              <w:rPr>
                <w:sz w:val="18"/>
                <w:szCs w:val="18"/>
              </w:rPr>
            </w:pPr>
            <w:r w:rsidRPr="00420644">
              <w:rPr>
                <w:sz w:val="18"/>
                <w:szCs w:val="18"/>
              </w:rPr>
              <w:t>Inorganic silts, micaceous or diatomaceous fine sandy or silty soils, elastic silts</w:t>
            </w:r>
          </w:p>
        </w:tc>
        <w:tc>
          <w:tcPr>
            <w:tcW w:w="2201" w:type="pct"/>
            <w:gridSpan w:val="3"/>
            <w:vMerge/>
            <w:tcBorders>
              <w:top w:val="nil"/>
              <w:left w:val="nil"/>
              <w:bottom w:val="single" w:sz="4" w:space="0" w:color="auto"/>
              <w:right w:val="double" w:sz="6" w:space="0" w:color="auto"/>
            </w:tcBorders>
            <w:vAlign w:val="center"/>
          </w:tcPr>
          <w:p w:rsidR="00326944" w:rsidRPr="00420644" w:rsidRDefault="00326944">
            <w:pPr>
              <w:rPr>
                <w:sz w:val="18"/>
                <w:szCs w:val="18"/>
              </w:rPr>
            </w:pPr>
          </w:p>
        </w:tc>
      </w:tr>
      <w:tr w:rsidR="00420644" w:rsidRPr="00420644" w:rsidTr="00456FFF">
        <w:tc>
          <w:tcPr>
            <w:tcW w:w="333" w:type="pct"/>
            <w:vMerge/>
            <w:tcBorders>
              <w:top w:val="nil"/>
              <w:left w:val="double" w:sz="6" w:space="0" w:color="auto"/>
              <w:bottom w:val="double" w:sz="6" w:space="0" w:color="000000"/>
              <w:right w:val="single" w:sz="4" w:space="0" w:color="auto"/>
            </w:tcBorders>
            <w:vAlign w:val="center"/>
          </w:tcPr>
          <w:p w:rsidR="00326944" w:rsidRPr="00420644" w:rsidRDefault="00326944">
            <w:pPr>
              <w:rPr>
                <w:sz w:val="18"/>
                <w:szCs w:val="18"/>
              </w:rPr>
            </w:pPr>
          </w:p>
        </w:tc>
        <w:tc>
          <w:tcPr>
            <w:tcW w:w="732" w:type="pct"/>
            <w:gridSpan w:val="2"/>
            <w:vMerge/>
            <w:tcBorders>
              <w:top w:val="single" w:sz="4" w:space="0" w:color="auto"/>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391" w:type="pct"/>
            <w:gridSpan w:val="2"/>
            <w:tcBorders>
              <w:top w:val="single" w:sz="4" w:space="0" w:color="auto"/>
              <w:left w:val="nil"/>
              <w:bottom w:val="single" w:sz="4" w:space="0" w:color="auto"/>
              <w:right w:val="single" w:sz="4" w:space="0" w:color="auto"/>
            </w:tcBorders>
            <w:shd w:val="clear" w:color="auto" w:fill="auto"/>
            <w:vAlign w:val="center"/>
          </w:tcPr>
          <w:p w:rsidR="00326944" w:rsidRPr="00420644" w:rsidRDefault="00326944">
            <w:pPr>
              <w:jc w:val="center"/>
              <w:rPr>
                <w:sz w:val="18"/>
                <w:szCs w:val="18"/>
              </w:rPr>
            </w:pPr>
            <w:r w:rsidRPr="00420644">
              <w:rPr>
                <w:sz w:val="18"/>
                <w:szCs w:val="18"/>
              </w:rPr>
              <w:t>CH</w:t>
            </w:r>
          </w:p>
        </w:tc>
        <w:tc>
          <w:tcPr>
            <w:tcW w:w="1342" w:type="pct"/>
            <w:tcBorders>
              <w:top w:val="nil"/>
              <w:left w:val="nil"/>
              <w:bottom w:val="single" w:sz="4" w:space="0" w:color="auto"/>
              <w:right w:val="single" w:sz="4" w:space="0" w:color="auto"/>
            </w:tcBorders>
            <w:shd w:val="clear" w:color="auto" w:fill="auto"/>
            <w:vAlign w:val="center"/>
          </w:tcPr>
          <w:p w:rsidR="00326944" w:rsidRPr="00420644" w:rsidRDefault="00326944">
            <w:pPr>
              <w:rPr>
                <w:sz w:val="18"/>
                <w:szCs w:val="18"/>
              </w:rPr>
            </w:pPr>
            <w:r w:rsidRPr="00420644">
              <w:rPr>
                <w:sz w:val="18"/>
                <w:szCs w:val="18"/>
              </w:rPr>
              <w:t>Inorganic clays of high plasticity, fat clays</w:t>
            </w:r>
          </w:p>
        </w:tc>
        <w:tc>
          <w:tcPr>
            <w:tcW w:w="2201" w:type="pct"/>
            <w:gridSpan w:val="3"/>
            <w:vMerge/>
            <w:tcBorders>
              <w:top w:val="nil"/>
              <w:left w:val="nil"/>
              <w:bottom w:val="single" w:sz="4" w:space="0" w:color="auto"/>
              <w:right w:val="double" w:sz="6" w:space="0" w:color="auto"/>
            </w:tcBorders>
            <w:vAlign w:val="center"/>
          </w:tcPr>
          <w:p w:rsidR="00326944" w:rsidRPr="00420644" w:rsidRDefault="00326944">
            <w:pPr>
              <w:rPr>
                <w:sz w:val="18"/>
                <w:szCs w:val="18"/>
              </w:rPr>
            </w:pPr>
          </w:p>
        </w:tc>
      </w:tr>
      <w:tr w:rsidR="00420644" w:rsidRPr="00420644" w:rsidTr="00456FFF">
        <w:tc>
          <w:tcPr>
            <w:tcW w:w="333" w:type="pct"/>
            <w:vMerge/>
            <w:tcBorders>
              <w:top w:val="nil"/>
              <w:left w:val="double" w:sz="6" w:space="0" w:color="auto"/>
              <w:bottom w:val="double" w:sz="6" w:space="0" w:color="000000"/>
              <w:right w:val="single" w:sz="4" w:space="0" w:color="auto"/>
            </w:tcBorders>
            <w:vAlign w:val="center"/>
          </w:tcPr>
          <w:p w:rsidR="00326944" w:rsidRPr="00420644" w:rsidRDefault="00326944">
            <w:pPr>
              <w:rPr>
                <w:sz w:val="18"/>
                <w:szCs w:val="18"/>
              </w:rPr>
            </w:pPr>
          </w:p>
        </w:tc>
        <w:tc>
          <w:tcPr>
            <w:tcW w:w="732" w:type="pct"/>
            <w:gridSpan w:val="2"/>
            <w:vMerge/>
            <w:tcBorders>
              <w:top w:val="single" w:sz="4" w:space="0" w:color="auto"/>
              <w:left w:val="single" w:sz="4" w:space="0" w:color="auto"/>
              <w:bottom w:val="single" w:sz="4" w:space="0" w:color="auto"/>
              <w:right w:val="single" w:sz="4" w:space="0" w:color="auto"/>
            </w:tcBorders>
            <w:vAlign w:val="center"/>
          </w:tcPr>
          <w:p w:rsidR="00326944" w:rsidRPr="00420644" w:rsidRDefault="00326944">
            <w:pPr>
              <w:rPr>
                <w:sz w:val="18"/>
                <w:szCs w:val="18"/>
              </w:rPr>
            </w:pPr>
          </w:p>
        </w:tc>
        <w:tc>
          <w:tcPr>
            <w:tcW w:w="391" w:type="pct"/>
            <w:gridSpan w:val="2"/>
            <w:tcBorders>
              <w:top w:val="single" w:sz="4" w:space="0" w:color="auto"/>
              <w:left w:val="nil"/>
              <w:bottom w:val="single" w:sz="4" w:space="0" w:color="auto"/>
              <w:right w:val="single" w:sz="4" w:space="0" w:color="auto"/>
            </w:tcBorders>
            <w:shd w:val="clear" w:color="auto" w:fill="auto"/>
            <w:vAlign w:val="center"/>
          </w:tcPr>
          <w:p w:rsidR="00326944" w:rsidRPr="00420644" w:rsidRDefault="00326944">
            <w:pPr>
              <w:jc w:val="center"/>
              <w:rPr>
                <w:sz w:val="18"/>
                <w:szCs w:val="18"/>
              </w:rPr>
            </w:pPr>
            <w:r w:rsidRPr="00420644">
              <w:rPr>
                <w:sz w:val="18"/>
                <w:szCs w:val="18"/>
              </w:rPr>
              <w:t>OH</w:t>
            </w:r>
          </w:p>
        </w:tc>
        <w:tc>
          <w:tcPr>
            <w:tcW w:w="1342" w:type="pct"/>
            <w:tcBorders>
              <w:top w:val="nil"/>
              <w:left w:val="nil"/>
              <w:bottom w:val="single" w:sz="4" w:space="0" w:color="auto"/>
              <w:right w:val="single" w:sz="4" w:space="0" w:color="auto"/>
            </w:tcBorders>
            <w:shd w:val="clear" w:color="auto" w:fill="auto"/>
            <w:vAlign w:val="center"/>
          </w:tcPr>
          <w:p w:rsidR="00326944" w:rsidRPr="00420644" w:rsidRDefault="00326944">
            <w:pPr>
              <w:rPr>
                <w:sz w:val="18"/>
                <w:szCs w:val="18"/>
              </w:rPr>
            </w:pPr>
            <w:r w:rsidRPr="00420644">
              <w:rPr>
                <w:sz w:val="18"/>
                <w:szCs w:val="18"/>
              </w:rPr>
              <w:t>Organic clays of medium to high plasticity, organic silts</w:t>
            </w:r>
          </w:p>
        </w:tc>
        <w:tc>
          <w:tcPr>
            <w:tcW w:w="2201" w:type="pct"/>
            <w:gridSpan w:val="3"/>
            <w:vMerge/>
            <w:tcBorders>
              <w:top w:val="nil"/>
              <w:left w:val="nil"/>
              <w:bottom w:val="single" w:sz="4" w:space="0" w:color="auto"/>
              <w:right w:val="double" w:sz="6" w:space="0" w:color="auto"/>
            </w:tcBorders>
            <w:vAlign w:val="center"/>
          </w:tcPr>
          <w:p w:rsidR="00326944" w:rsidRPr="00420644" w:rsidRDefault="00326944">
            <w:pPr>
              <w:rPr>
                <w:sz w:val="18"/>
                <w:szCs w:val="18"/>
              </w:rPr>
            </w:pPr>
          </w:p>
        </w:tc>
      </w:tr>
      <w:tr w:rsidR="00420644" w:rsidRPr="00420644" w:rsidTr="00456FFF">
        <w:tc>
          <w:tcPr>
            <w:tcW w:w="333" w:type="pct"/>
            <w:vMerge/>
            <w:tcBorders>
              <w:top w:val="nil"/>
              <w:left w:val="double" w:sz="6" w:space="0" w:color="auto"/>
              <w:bottom w:val="double" w:sz="6" w:space="0" w:color="auto"/>
              <w:right w:val="single" w:sz="4" w:space="0" w:color="auto"/>
            </w:tcBorders>
            <w:vAlign w:val="center"/>
          </w:tcPr>
          <w:p w:rsidR="00326944" w:rsidRPr="00420644" w:rsidRDefault="00326944">
            <w:pPr>
              <w:rPr>
                <w:sz w:val="18"/>
                <w:szCs w:val="18"/>
              </w:rPr>
            </w:pPr>
          </w:p>
        </w:tc>
        <w:tc>
          <w:tcPr>
            <w:tcW w:w="732" w:type="pct"/>
            <w:gridSpan w:val="2"/>
            <w:tcBorders>
              <w:top w:val="single" w:sz="4" w:space="0" w:color="auto"/>
              <w:left w:val="nil"/>
              <w:bottom w:val="double" w:sz="6" w:space="0" w:color="auto"/>
              <w:right w:val="single" w:sz="4" w:space="0" w:color="auto"/>
            </w:tcBorders>
            <w:shd w:val="clear" w:color="auto" w:fill="auto"/>
            <w:textDirection w:val="btLr"/>
            <w:vAlign w:val="center"/>
          </w:tcPr>
          <w:p w:rsidR="00326944" w:rsidRPr="00420644" w:rsidRDefault="00326944">
            <w:pPr>
              <w:jc w:val="center"/>
              <w:rPr>
                <w:sz w:val="18"/>
                <w:szCs w:val="18"/>
              </w:rPr>
            </w:pPr>
            <w:r w:rsidRPr="00420644">
              <w:rPr>
                <w:sz w:val="18"/>
                <w:szCs w:val="18"/>
              </w:rPr>
              <w:t>Highly organic soils</w:t>
            </w:r>
          </w:p>
        </w:tc>
        <w:tc>
          <w:tcPr>
            <w:tcW w:w="391" w:type="pct"/>
            <w:gridSpan w:val="2"/>
            <w:tcBorders>
              <w:top w:val="single" w:sz="4" w:space="0" w:color="auto"/>
              <w:left w:val="nil"/>
              <w:bottom w:val="double" w:sz="6" w:space="0" w:color="auto"/>
              <w:right w:val="single" w:sz="4" w:space="0" w:color="auto"/>
            </w:tcBorders>
            <w:shd w:val="clear" w:color="auto" w:fill="auto"/>
            <w:vAlign w:val="center"/>
          </w:tcPr>
          <w:p w:rsidR="00326944" w:rsidRPr="00420644" w:rsidRDefault="00326944">
            <w:pPr>
              <w:jc w:val="center"/>
              <w:rPr>
                <w:sz w:val="18"/>
                <w:szCs w:val="18"/>
              </w:rPr>
            </w:pPr>
            <w:r w:rsidRPr="00420644">
              <w:rPr>
                <w:sz w:val="18"/>
                <w:szCs w:val="18"/>
              </w:rPr>
              <w:t>Pt</w:t>
            </w:r>
          </w:p>
        </w:tc>
        <w:tc>
          <w:tcPr>
            <w:tcW w:w="1342" w:type="pct"/>
            <w:tcBorders>
              <w:top w:val="nil"/>
              <w:left w:val="nil"/>
              <w:bottom w:val="double" w:sz="6" w:space="0" w:color="auto"/>
              <w:right w:val="single" w:sz="4" w:space="0" w:color="auto"/>
            </w:tcBorders>
            <w:shd w:val="clear" w:color="auto" w:fill="auto"/>
            <w:vAlign w:val="center"/>
          </w:tcPr>
          <w:p w:rsidR="00326944" w:rsidRPr="00420644" w:rsidRDefault="00326944">
            <w:pPr>
              <w:rPr>
                <w:sz w:val="18"/>
                <w:szCs w:val="18"/>
              </w:rPr>
            </w:pPr>
            <w:r w:rsidRPr="00420644">
              <w:rPr>
                <w:sz w:val="18"/>
                <w:szCs w:val="18"/>
              </w:rPr>
              <w:t>Peat and other highly organic soils</w:t>
            </w:r>
          </w:p>
        </w:tc>
        <w:tc>
          <w:tcPr>
            <w:tcW w:w="2201" w:type="pct"/>
            <w:gridSpan w:val="3"/>
            <w:vMerge/>
            <w:tcBorders>
              <w:top w:val="nil"/>
              <w:left w:val="nil"/>
              <w:bottom w:val="double" w:sz="6" w:space="0" w:color="auto"/>
              <w:right w:val="double" w:sz="6" w:space="0" w:color="auto"/>
            </w:tcBorders>
            <w:vAlign w:val="center"/>
          </w:tcPr>
          <w:p w:rsidR="00326944" w:rsidRPr="00420644" w:rsidRDefault="00326944">
            <w:pPr>
              <w:rPr>
                <w:sz w:val="18"/>
                <w:szCs w:val="18"/>
              </w:rPr>
            </w:pPr>
          </w:p>
        </w:tc>
      </w:tr>
    </w:tbl>
    <w:p w:rsidR="00983B36" w:rsidRDefault="00983B36" w:rsidP="00983B36">
      <w:pPr>
        <w:tabs>
          <w:tab w:val="left" w:pos="360"/>
        </w:tabs>
        <w:ind w:left="360" w:hanging="360"/>
        <w:rPr>
          <w:sz w:val="18"/>
          <w:szCs w:val="18"/>
        </w:rPr>
      </w:pPr>
      <w:r>
        <w:rPr>
          <w:sz w:val="18"/>
          <w:szCs w:val="18"/>
        </w:rPr>
        <w:t>*</w:t>
      </w:r>
      <w:r>
        <w:rPr>
          <w:sz w:val="18"/>
          <w:szCs w:val="18"/>
        </w:rPr>
        <w:tab/>
        <w:t>Division of GM and SM groups into subdivisions of d and u are for roads and airfields only.  Subdivision of based on Atterberg limits; suffix d used when LL is 28 or less and the PI is 6 or less; the suffix u used when LL is greater than 28.</w:t>
      </w:r>
    </w:p>
    <w:p w:rsidR="00983B36" w:rsidRPr="00420644" w:rsidRDefault="00983B36" w:rsidP="00983B36">
      <w:pPr>
        <w:tabs>
          <w:tab w:val="left" w:pos="360"/>
        </w:tabs>
        <w:ind w:left="360" w:hanging="360"/>
        <w:rPr>
          <w:sz w:val="18"/>
          <w:szCs w:val="18"/>
        </w:rPr>
      </w:pPr>
      <w:r>
        <w:rPr>
          <w:sz w:val="18"/>
          <w:szCs w:val="18"/>
        </w:rPr>
        <w:t>**</w:t>
      </w:r>
      <w:r>
        <w:rPr>
          <w:sz w:val="18"/>
          <w:szCs w:val="18"/>
        </w:rPr>
        <w:tab/>
        <w:t>Borderline classifications, used for soils possessing characteristics of two groups, are designated by combinations of group symbols.  For example: GW-GC, well-graded gravel-sand mixture with clay binder.</w:t>
      </w:r>
    </w:p>
    <w:p w:rsidR="00326944" w:rsidRDefault="00326944" w:rsidP="00D34F2B"/>
    <w:p w:rsidR="007E4D1D" w:rsidRDefault="007E4D1D" w:rsidP="00E05E2C">
      <w:pPr>
        <w:adjustRightInd w:val="0"/>
        <w:rPr>
          <w:spacing w:val="-2"/>
        </w:rPr>
      </w:pPr>
    </w:p>
    <w:p w:rsidR="00C20218" w:rsidRDefault="00C20218" w:rsidP="0088557A">
      <w:pPr>
        <w:pStyle w:val="APTechParagraph"/>
        <w:sectPr w:rsidR="00C20218" w:rsidSect="0077603A">
          <w:headerReference w:type="even" r:id="rId33"/>
          <w:headerReference w:type="default" r:id="rId34"/>
          <w:footerReference w:type="even" r:id="rId35"/>
          <w:footerReference w:type="default" r:id="rId36"/>
          <w:pgSz w:w="12240" w:h="15840" w:code="1"/>
          <w:pgMar w:top="1152" w:right="1440" w:bottom="1008" w:left="1440" w:header="720" w:footer="720" w:gutter="0"/>
          <w:paperSrc w:first="1" w:other="1"/>
          <w:pgNumType w:start="1"/>
          <w:cols w:space="720"/>
          <w:docGrid w:linePitch="326"/>
        </w:sectPr>
      </w:pPr>
    </w:p>
    <w:p w:rsidR="00983B36" w:rsidRDefault="00983B36" w:rsidP="00711EDE">
      <w:pPr>
        <w:pStyle w:val="Heading9"/>
        <w:spacing w:before="0"/>
      </w:pPr>
      <w:bookmarkStart w:id="56" w:name="_Toc295918113"/>
      <w:r>
        <w:lastRenderedPageBreak/>
        <w:t>Table</w:t>
      </w:r>
      <w:r w:rsidR="00F3038B">
        <w:t xml:space="preserve"> </w:t>
      </w:r>
      <w:bookmarkStart w:id="57" w:name="t6"/>
      <w:r w:rsidR="00F3038B">
        <w:t>3-</w:t>
      </w:r>
      <w:bookmarkEnd w:id="57"/>
      <w:r w:rsidR="00CC4DEE">
        <w:t>5</w:t>
      </w:r>
      <w:r>
        <w:t xml:space="preserve">.  AASHTO </w:t>
      </w:r>
      <w:r w:rsidR="00711EDE">
        <w:t>coarse a</w:t>
      </w:r>
      <w:r>
        <w:t xml:space="preserve">ggregate </w:t>
      </w:r>
      <w:r w:rsidR="00711EDE">
        <w:t>g</w:t>
      </w:r>
      <w:r>
        <w:t>radations.</w:t>
      </w:r>
      <w:bookmarkEnd w:id="56"/>
    </w:p>
    <w:tbl>
      <w:tblPr>
        <w:tblW w:w="4613" w:type="pct"/>
        <w:jc w:val="center"/>
        <w:tblCellMar>
          <w:left w:w="29" w:type="dxa"/>
          <w:right w:w="29" w:type="dxa"/>
        </w:tblCellMar>
        <w:tblLook w:val="0000" w:firstRow="0" w:lastRow="0" w:firstColumn="0" w:lastColumn="0" w:noHBand="0" w:noVBand="0"/>
      </w:tblPr>
      <w:tblGrid>
        <w:gridCol w:w="575"/>
        <w:gridCol w:w="1295"/>
        <w:gridCol w:w="720"/>
        <w:gridCol w:w="720"/>
        <w:gridCol w:w="720"/>
        <w:gridCol w:w="720"/>
        <w:gridCol w:w="720"/>
        <w:gridCol w:w="720"/>
        <w:gridCol w:w="720"/>
        <w:gridCol w:w="720"/>
        <w:gridCol w:w="720"/>
        <w:gridCol w:w="720"/>
        <w:gridCol w:w="720"/>
        <w:gridCol w:w="720"/>
        <w:gridCol w:w="720"/>
        <w:gridCol w:w="720"/>
        <w:gridCol w:w="725"/>
      </w:tblGrid>
      <w:tr w:rsidR="00214EBB" w:rsidRPr="00214EBB" w:rsidTr="00711EDE">
        <w:trPr>
          <w:trHeight w:val="270"/>
          <w:jc w:val="center"/>
        </w:trPr>
        <w:tc>
          <w:tcPr>
            <w:tcW w:w="5000" w:type="pct"/>
            <w:gridSpan w:val="17"/>
            <w:tcBorders>
              <w:top w:val="double" w:sz="6" w:space="0" w:color="000000"/>
              <w:left w:val="double" w:sz="6" w:space="0" w:color="000000"/>
              <w:bottom w:val="single" w:sz="4" w:space="0" w:color="000000"/>
              <w:right w:val="double" w:sz="6" w:space="0" w:color="000000"/>
            </w:tcBorders>
            <w:shd w:val="clear" w:color="auto" w:fill="auto"/>
          </w:tcPr>
          <w:p w:rsidR="00214EBB" w:rsidRPr="00983B36" w:rsidRDefault="00214EBB">
            <w:pPr>
              <w:jc w:val="center"/>
              <w:rPr>
                <w:b/>
                <w:sz w:val="16"/>
                <w:szCs w:val="16"/>
              </w:rPr>
            </w:pPr>
            <w:r w:rsidRPr="00983B36">
              <w:rPr>
                <w:b/>
                <w:sz w:val="16"/>
                <w:szCs w:val="16"/>
              </w:rPr>
              <w:t>AASHTO Coarse Aggregate Gradations</w:t>
            </w:r>
          </w:p>
        </w:tc>
      </w:tr>
      <w:tr w:rsidR="00711EDE" w:rsidRPr="00214EBB" w:rsidTr="00711EDE">
        <w:trPr>
          <w:trHeight w:val="255"/>
          <w:jc w:val="center"/>
        </w:trPr>
        <w:tc>
          <w:tcPr>
            <w:tcW w:w="227" w:type="pct"/>
            <w:vMerge w:val="restart"/>
            <w:tcBorders>
              <w:top w:val="single" w:sz="4" w:space="0" w:color="000000"/>
              <w:left w:val="double" w:sz="6" w:space="0" w:color="000000"/>
              <w:bottom w:val="double" w:sz="6" w:space="0" w:color="000000"/>
              <w:right w:val="single" w:sz="4" w:space="0" w:color="000000"/>
            </w:tcBorders>
            <w:shd w:val="clear" w:color="auto" w:fill="auto"/>
            <w:vAlign w:val="center"/>
          </w:tcPr>
          <w:p w:rsidR="00214EBB" w:rsidRPr="00983B36" w:rsidRDefault="00214EBB" w:rsidP="00711EDE">
            <w:pPr>
              <w:jc w:val="center"/>
              <w:rPr>
                <w:b/>
                <w:sz w:val="16"/>
                <w:szCs w:val="16"/>
              </w:rPr>
            </w:pPr>
            <w:r w:rsidRPr="00983B36">
              <w:rPr>
                <w:b/>
                <w:sz w:val="16"/>
                <w:szCs w:val="16"/>
              </w:rPr>
              <w:t>Size</w:t>
            </w:r>
            <w:r w:rsidR="00711EDE">
              <w:rPr>
                <w:b/>
                <w:sz w:val="16"/>
                <w:szCs w:val="16"/>
              </w:rPr>
              <w:br/>
              <w:t>No.</w:t>
            </w:r>
          </w:p>
        </w:tc>
        <w:tc>
          <w:tcPr>
            <w:tcW w:w="511" w:type="pct"/>
            <w:vMerge w:val="restart"/>
            <w:tcBorders>
              <w:top w:val="single" w:sz="4" w:space="0" w:color="000000"/>
              <w:left w:val="single" w:sz="4" w:space="0" w:color="000000"/>
              <w:bottom w:val="double" w:sz="6" w:space="0" w:color="000000"/>
              <w:right w:val="single" w:sz="4" w:space="0" w:color="000000"/>
            </w:tcBorders>
            <w:shd w:val="clear" w:color="auto" w:fill="auto"/>
            <w:vAlign w:val="center"/>
          </w:tcPr>
          <w:p w:rsidR="00214EBB" w:rsidRPr="00983B36" w:rsidRDefault="00214EBB" w:rsidP="00711EDE">
            <w:pPr>
              <w:jc w:val="center"/>
              <w:rPr>
                <w:b/>
                <w:sz w:val="16"/>
                <w:szCs w:val="16"/>
              </w:rPr>
            </w:pPr>
            <w:r w:rsidRPr="00983B36">
              <w:rPr>
                <w:b/>
                <w:sz w:val="16"/>
                <w:szCs w:val="16"/>
              </w:rPr>
              <w:t>Nominal size</w:t>
            </w:r>
            <w:r w:rsidR="00711EDE">
              <w:rPr>
                <w:b/>
                <w:sz w:val="16"/>
                <w:szCs w:val="16"/>
              </w:rPr>
              <w:br/>
            </w:r>
            <w:r w:rsidRPr="00983B36">
              <w:rPr>
                <w:b/>
                <w:sz w:val="16"/>
                <w:szCs w:val="16"/>
              </w:rPr>
              <w:t>square openings</w:t>
            </w:r>
            <w:r w:rsidR="00711EDE">
              <w:rPr>
                <w:b/>
                <w:sz w:val="16"/>
                <w:szCs w:val="16"/>
              </w:rPr>
              <w:t xml:space="preserve"> (</w:t>
            </w:r>
            <w:r w:rsidRPr="00983B36">
              <w:rPr>
                <w:b/>
                <w:sz w:val="16"/>
                <w:szCs w:val="16"/>
              </w:rPr>
              <w:t>1)</w:t>
            </w:r>
          </w:p>
        </w:tc>
        <w:tc>
          <w:tcPr>
            <w:tcW w:w="4262" w:type="pct"/>
            <w:gridSpan w:val="15"/>
            <w:tcBorders>
              <w:top w:val="single" w:sz="4" w:space="0" w:color="000000"/>
              <w:left w:val="nil"/>
              <w:bottom w:val="single" w:sz="4" w:space="0" w:color="000000"/>
              <w:right w:val="double" w:sz="6" w:space="0" w:color="000000"/>
            </w:tcBorders>
            <w:shd w:val="clear" w:color="auto" w:fill="auto"/>
            <w:vAlign w:val="center"/>
          </w:tcPr>
          <w:p w:rsidR="00214EBB" w:rsidRPr="00983B36" w:rsidRDefault="00214EBB" w:rsidP="00711EDE">
            <w:pPr>
              <w:jc w:val="center"/>
              <w:rPr>
                <w:b/>
                <w:sz w:val="16"/>
                <w:szCs w:val="16"/>
              </w:rPr>
            </w:pPr>
            <w:r w:rsidRPr="00983B36">
              <w:rPr>
                <w:b/>
                <w:sz w:val="16"/>
                <w:szCs w:val="16"/>
              </w:rPr>
              <w:t>Amounts finer than each laboratory sieve (square openings), percentage by weight</w:t>
            </w:r>
            <w:r w:rsidR="00AF71B8">
              <w:rPr>
                <w:b/>
                <w:sz w:val="16"/>
                <w:szCs w:val="16"/>
              </w:rPr>
              <w:t xml:space="preserve"> </w:t>
            </w:r>
            <w:r w:rsidR="00AF71B8" w:rsidRPr="00AF71B8">
              <w:rPr>
                <w:b/>
                <w:color w:val="FF0000"/>
                <w:sz w:val="16"/>
                <w:szCs w:val="16"/>
              </w:rPr>
              <w:t>(also called percent passing)</w:t>
            </w:r>
          </w:p>
        </w:tc>
      </w:tr>
      <w:tr w:rsidR="00711EDE" w:rsidRPr="00214EBB" w:rsidTr="00711EDE">
        <w:trPr>
          <w:trHeight w:val="270"/>
          <w:jc w:val="center"/>
        </w:trPr>
        <w:tc>
          <w:tcPr>
            <w:tcW w:w="227" w:type="pct"/>
            <w:vMerge/>
            <w:tcBorders>
              <w:top w:val="single" w:sz="4" w:space="0" w:color="000000"/>
              <w:left w:val="double" w:sz="6" w:space="0" w:color="000000"/>
              <w:bottom w:val="double" w:sz="6" w:space="0" w:color="000000"/>
              <w:right w:val="single" w:sz="4" w:space="0" w:color="000000"/>
            </w:tcBorders>
            <w:vAlign w:val="center"/>
          </w:tcPr>
          <w:p w:rsidR="00214EBB" w:rsidRPr="00983B36" w:rsidRDefault="00214EBB" w:rsidP="00711EDE">
            <w:pPr>
              <w:jc w:val="center"/>
              <w:rPr>
                <w:sz w:val="16"/>
                <w:szCs w:val="16"/>
              </w:rPr>
            </w:pPr>
          </w:p>
        </w:tc>
        <w:tc>
          <w:tcPr>
            <w:tcW w:w="511" w:type="pct"/>
            <w:vMerge/>
            <w:tcBorders>
              <w:top w:val="single" w:sz="4" w:space="0" w:color="000000"/>
              <w:left w:val="single" w:sz="4" w:space="0" w:color="000000"/>
              <w:bottom w:val="double" w:sz="6" w:space="0" w:color="000000"/>
              <w:right w:val="single" w:sz="4" w:space="0" w:color="000000"/>
            </w:tcBorders>
            <w:vAlign w:val="center"/>
          </w:tcPr>
          <w:p w:rsidR="00214EBB" w:rsidRPr="00983B36" w:rsidRDefault="00214EBB" w:rsidP="00711EDE">
            <w:pPr>
              <w:jc w:val="center"/>
              <w:rPr>
                <w:b/>
                <w:sz w:val="16"/>
                <w:szCs w:val="16"/>
              </w:rPr>
            </w:pPr>
          </w:p>
        </w:tc>
        <w:tc>
          <w:tcPr>
            <w:tcW w:w="284" w:type="pct"/>
            <w:tcBorders>
              <w:top w:val="nil"/>
              <w:left w:val="nil"/>
              <w:bottom w:val="double" w:sz="6" w:space="0" w:color="000000"/>
              <w:right w:val="single" w:sz="4" w:space="0" w:color="000000"/>
            </w:tcBorders>
            <w:shd w:val="clear" w:color="auto" w:fill="auto"/>
            <w:vAlign w:val="center"/>
          </w:tcPr>
          <w:p w:rsidR="00214EBB" w:rsidRPr="00983B36" w:rsidRDefault="00214EBB" w:rsidP="00711EDE">
            <w:pPr>
              <w:jc w:val="center"/>
              <w:rPr>
                <w:b/>
                <w:sz w:val="16"/>
                <w:szCs w:val="16"/>
              </w:rPr>
            </w:pPr>
            <w:r w:rsidRPr="00983B36">
              <w:rPr>
                <w:b/>
                <w:sz w:val="16"/>
                <w:szCs w:val="16"/>
              </w:rPr>
              <w:t>4</w:t>
            </w:r>
          </w:p>
        </w:tc>
        <w:tc>
          <w:tcPr>
            <w:tcW w:w="284" w:type="pct"/>
            <w:tcBorders>
              <w:top w:val="nil"/>
              <w:left w:val="nil"/>
              <w:bottom w:val="double" w:sz="6" w:space="0" w:color="000000"/>
              <w:right w:val="single" w:sz="4" w:space="0" w:color="000000"/>
            </w:tcBorders>
            <w:shd w:val="clear" w:color="auto" w:fill="auto"/>
            <w:vAlign w:val="center"/>
          </w:tcPr>
          <w:p w:rsidR="00214EBB" w:rsidRPr="00983B36" w:rsidRDefault="00214EBB" w:rsidP="00711EDE">
            <w:pPr>
              <w:jc w:val="center"/>
              <w:rPr>
                <w:b/>
                <w:sz w:val="16"/>
                <w:szCs w:val="16"/>
              </w:rPr>
            </w:pPr>
            <w:r w:rsidRPr="00983B36">
              <w:rPr>
                <w:b/>
                <w:sz w:val="16"/>
                <w:szCs w:val="16"/>
              </w:rPr>
              <w:t>3 1/2</w:t>
            </w:r>
          </w:p>
        </w:tc>
        <w:tc>
          <w:tcPr>
            <w:tcW w:w="284" w:type="pct"/>
            <w:tcBorders>
              <w:top w:val="nil"/>
              <w:left w:val="nil"/>
              <w:bottom w:val="double" w:sz="6" w:space="0" w:color="000000"/>
              <w:right w:val="single" w:sz="4" w:space="0" w:color="000000"/>
            </w:tcBorders>
            <w:shd w:val="clear" w:color="auto" w:fill="auto"/>
            <w:vAlign w:val="center"/>
          </w:tcPr>
          <w:p w:rsidR="00214EBB" w:rsidRPr="00983B36" w:rsidRDefault="00214EBB" w:rsidP="00711EDE">
            <w:pPr>
              <w:jc w:val="center"/>
              <w:rPr>
                <w:b/>
                <w:sz w:val="16"/>
                <w:szCs w:val="16"/>
              </w:rPr>
            </w:pPr>
            <w:r w:rsidRPr="00983B36">
              <w:rPr>
                <w:b/>
                <w:sz w:val="16"/>
                <w:szCs w:val="16"/>
              </w:rPr>
              <w:t>3</w:t>
            </w:r>
          </w:p>
        </w:tc>
        <w:tc>
          <w:tcPr>
            <w:tcW w:w="284" w:type="pct"/>
            <w:tcBorders>
              <w:top w:val="nil"/>
              <w:left w:val="nil"/>
              <w:bottom w:val="double" w:sz="6" w:space="0" w:color="000000"/>
              <w:right w:val="single" w:sz="4" w:space="0" w:color="000000"/>
            </w:tcBorders>
            <w:shd w:val="clear" w:color="auto" w:fill="auto"/>
            <w:vAlign w:val="center"/>
          </w:tcPr>
          <w:p w:rsidR="00214EBB" w:rsidRPr="00983B36" w:rsidRDefault="00214EBB" w:rsidP="00711EDE">
            <w:pPr>
              <w:jc w:val="center"/>
              <w:rPr>
                <w:b/>
                <w:sz w:val="16"/>
                <w:szCs w:val="16"/>
              </w:rPr>
            </w:pPr>
            <w:r w:rsidRPr="00983B36">
              <w:rPr>
                <w:b/>
                <w:sz w:val="16"/>
                <w:szCs w:val="16"/>
              </w:rPr>
              <w:t>2 1/2</w:t>
            </w:r>
          </w:p>
        </w:tc>
        <w:tc>
          <w:tcPr>
            <w:tcW w:w="284" w:type="pct"/>
            <w:tcBorders>
              <w:top w:val="nil"/>
              <w:left w:val="nil"/>
              <w:bottom w:val="double" w:sz="6" w:space="0" w:color="000000"/>
              <w:right w:val="single" w:sz="4" w:space="0" w:color="000000"/>
            </w:tcBorders>
            <w:shd w:val="clear" w:color="auto" w:fill="auto"/>
            <w:vAlign w:val="center"/>
          </w:tcPr>
          <w:p w:rsidR="00214EBB" w:rsidRPr="00983B36" w:rsidRDefault="00214EBB" w:rsidP="00711EDE">
            <w:pPr>
              <w:jc w:val="center"/>
              <w:rPr>
                <w:b/>
                <w:sz w:val="16"/>
                <w:szCs w:val="16"/>
              </w:rPr>
            </w:pPr>
            <w:r w:rsidRPr="00983B36">
              <w:rPr>
                <w:b/>
                <w:sz w:val="16"/>
                <w:szCs w:val="16"/>
              </w:rPr>
              <w:t>2</w:t>
            </w:r>
          </w:p>
        </w:tc>
        <w:tc>
          <w:tcPr>
            <w:tcW w:w="284" w:type="pct"/>
            <w:tcBorders>
              <w:top w:val="nil"/>
              <w:left w:val="nil"/>
              <w:bottom w:val="double" w:sz="6" w:space="0" w:color="000000"/>
              <w:right w:val="single" w:sz="4" w:space="0" w:color="000000"/>
            </w:tcBorders>
            <w:shd w:val="clear" w:color="auto" w:fill="auto"/>
            <w:vAlign w:val="center"/>
          </w:tcPr>
          <w:p w:rsidR="00214EBB" w:rsidRPr="00983B36" w:rsidRDefault="00214EBB" w:rsidP="00711EDE">
            <w:pPr>
              <w:jc w:val="center"/>
              <w:rPr>
                <w:b/>
                <w:sz w:val="16"/>
                <w:szCs w:val="16"/>
              </w:rPr>
            </w:pPr>
            <w:r w:rsidRPr="00983B36">
              <w:rPr>
                <w:b/>
                <w:sz w:val="16"/>
                <w:szCs w:val="16"/>
              </w:rPr>
              <w:t>1 1/2</w:t>
            </w:r>
          </w:p>
        </w:tc>
        <w:tc>
          <w:tcPr>
            <w:tcW w:w="284" w:type="pct"/>
            <w:tcBorders>
              <w:top w:val="nil"/>
              <w:left w:val="nil"/>
              <w:bottom w:val="double" w:sz="6" w:space="0" w:color="000000"/>
              <w:right w:val="single" w:sz="4" w:space="0" w:color="000000"/>
            </w:tcBorders>
            <w:shd w:val="clear" w:color="auto" w:fill="auto"/>
            <w:vAlign w:val="center"/>
          </w:tcPr>
          <w:p w:rsidR="00214EBB" w:rsidRPr="00983B36" w:rsidRDefault="00214EBB" w:rsidP="00711EDE">
            <w:pPr>
              <w:jc w:val="center"/>
              <w:rPr>
                <w:b/>
                <w:sz w:val="16"/>
                <w:szCs w:val="16"/>
              </w:rPr>
            </w:pPr>
            <w:r w:rsidRPr="00983B36">
              <w:rPr>
                <w:b/>
                <w:sz w:val="16"/>
                <w:szCs w:val="16"/>
              </w:rPr>
              <w:t>1</w:t>
            </w:r>
          </w:p>
        </w:tc>
        <w:tc>
          <w:tcPr>
            <w:tcW w:w="284" w:type="pct"/>
            <w:tcBorders>
              <w:top w:val="nil"/>
              <w:left w:val="nil"/>
              <w:bottom w:val="double" w:sz="6" w:space="0" w:color="000000"/>
              <w:right w:val="single" w:sz="4" w:space="0" w:color="000000"/>
            </w:tcBorders>
            <w:shd w:val="clear" w:color="auto" w:fill="auto"/>
            <w:vAlign w:val="center"/>
          </w:tcPr>
          <w:p w:rsidR="00214EBB" w:rsidRPr="00983B36" w:rsidRDefault="00214EBB" w:rsidP="00711EDE">
            <w:pPr>
              <w:jc w:val="center"/>
              <w:rPr>
                <w:b/>
                <w:sz w:val="16"/>
                <w:szCs w:val="16"/>
              </w:rPr>
            </w:pPr>
            <w:r w:rsidRPr="00983B36">
              <w:rPr>
                <w:b/>
                <w:sz w:val="16"/>
                <w:szCs w:val="16"/>
              </w:rPr>
              <w:t>3/4</w:t>
            </w:r>
          </w:p>
        </w:tc>
        <w:tc>
          <w:tcPr>
            <w:tcW w:w="284" w:type="pct"/>
            <w:tcBorders>
              <w:top w:val="nil"/>
              <w:left w:val="nil"/>
              <w:bottom w:val="double" w:sz="6" w:space="0" w:color="000000"/>
              <w:right w:val="single" w:sz="4" w:space="0" w:color="000000"/>
            </w:tcBorders>
            <w:shd w:val="clear" w:color="auto" w:fill="auto"/>
            <w:vAlign w:val="center"/>
          </w:tcPr>
          <w:p w:rsidR="00214EBB" w:rsidRPr="00983B36" w:rsidRDefault="00214EBB" w:rsidP="00711EDE">
            <w:pPr>
              <w:jc w:val="center"/>
              <w:rPr>
                <w:b/>
                <w:sz w:val="16"/>
                <w:szCs w:val="16"/>
              </w:rPr>
            </w:pPr>
            <w:r w:rsidRPr="00983B36">
              <w:rPr>
                <w:b/>
                <w:sz w:val="16"/>
                <w:szCs w:val="16"/>
              </w:rPr>
              <w:t>1/2</w:t>
            </w:r>
          </w:p>
        </w:tc>
        <w:tc>
          <w:tcPr>
            <w:tcW w:w="284" w:type="pct"/>
            <w:tcBorders>
              <w:top w:val="nil"/>
              <w:left w:val="nil"/>
              <w:bottom w:val="double" w:sz="6" w:space="0" w:color="000000"/>
              <w:right w:val="single" w:sz="4" w:space="0" w:color="000000"/>
            </w:tcBorders>
            <w:shd w:val="clear" w:color="auto" w:fill="auto"/>
            <w:vAlign w:val="center"/>
          </w:tcPr>
          <w:p w:rsidR="00214EBB" w:rsidRPr="00983B36" w:rsidRDefault="00214EBB" w:rsidP="00711EDE">
            <w:pPr>
              <w:jc w:val="center"/>
              <w:rPr>
                <w:b/>
                <w:sz w:val="16"/>
                <w:szCs w:val="16"/>
              </w:rPr>
            </w:pPr>
            <w:r w:rsidRPr="00983B36">
              <w:rPr>
                <w:b/>
                <w:sz w:val="16"/>
                <w:szCs w:val="16"/>
              </w:rPr>
              <w:t>3/8</w:t>
            </w:r>
          </w:p>
        </w:tc>
        <w:tc>
          <w:tcPr>
            <w:tcW w:w="284" w:type="pct"/>
            <w:tcBorders>
              <w:top w:val="nil"/>
              <w:left w:val="nil"/>
              <w:bottom w:val="double" w:sz="6" w:space="0" w:color="000000"/>
              <w:right w:val="single" w:sz="4" w:space="0" w:color="000000"/>
            </w:tcBorders>
            <w:shd w:val="clear" w:color="auto" w:fill="auto"/>
            <w:vAlign w:val="center"/>
          </w:tcPr>
          <w:p w:rsidR="00214EBB" w:rsidRPr="00983B36" w:rsidRDefault="00214EBB" w:rsidP="00711EDE">
            <w:pPr>
              <w:jc w:val="center"/>
              <w:rPr>
                <w:b/>
                <w:sz w:val="16"/>
                <w:szCs w:val="16"/>
              </w:rPr>
            </w:pPr>
            <w:r w:rsidRPr="00983B36">
              <w:rPr>
                <w:b/>
                <w:sz w:val="16"/>
                <w:szCs w:val="16"/>
              </w:rPr>
              <w:t>No. 4</w:t>
            </w:r>
          </w:p>
        </w:tc>
        <w:tc>
          <w:tcPr>
            <w:tcW w:w="284" w:type="pct"/>
            <w:tcBorders>
              <w:top w:val="nil"/>
              <w:left w:val="nil"/>
              <w:bottom w:val="double" w:sz="6" w:space="0" w:color="000000"/>
              <w:right w:val="single" w:sz="4" w:space="0" w:color="000000"/>
            </w:tcBorders>
            <w:shd w:val="clear" w:color="auto" w:fill="auto"/>
            <w:vAlign w:val="center"/>
          </w:tcPr>
          <w:p w:rsidR="00214EBB" w:rsidRPr="00983B36" w:rsidRDefault="00214EBB" w:rsidP="00711EDE">
            <w:pPr>
              <w:jc w:val="center"/>
              <w:rPr>
                <w:b/>
                <w:sz w:val="16"/>
                <w:szCs w:val="16"/>
              </w:rPr>
            </w:pPr>
            <w:r w:rsidRPr="00983B36">
              <w:rPr>
                <w:b/>
                <w:sz w:val="16"/>
                <w:szCs w:val="16"/>
              </w:rPr>
              <w:t>No. 8</w:t>
            </w:r>
          </w:p>
        </w:tc>
        <w:tc>
          <w:tcPr>
            <w:tcW w:w="284" w:type="pct"/>
            <w:tcBorders>
              <w:top w:val="nil"/>
              <w:left w:val="nil"/>
              <w:bottom w:val="double" w:sz="6" w:space="0" w:color="000000"/>
              <w:right w:val="single" w:sz="4" w:space="0" w:color="000000"/>
            </w:tcBorders>
            <w:shd w:val="clear" w:color="auto" w:fill="auto"/>
            <w:vAlign w:val="center"/>
          </w:tcPr>
          <w:p w:rsidR="00214EBB" w:rsidRPr="00983B36" w:rsidRDefault="00214EBB" w:rsidP="00711EDE">
            <w:pPr>
              <w:jc w:val="center"/>
              <w:rPr>
                <w:b/>
                <w:sz w:val="16"/>
                <w:szCs w:val="16"/>
              </w:rPr>
            </w:pPr>
            <w:r w:rsidRPr="00983B36">
              <w:rPr>
                <w:b/>
                <w:sz w:val="16"/>
                <w:szCs w:val="16"/>
              </w:rPr>
              <w:t>No. 18</w:t>
            </w:r>
          </w:p>
        </w:tc>
        <w:tc>
          <w:tcPr>
            <w:tcW w:w="284" w:type="pct"/>
            <w:tcBorders>
              <w:top w:val="nil"/>
              <w:left w:val="nil"/>
              <w:bottom w:val="double" w:sz="6" w:space="0" w:color="000000"/>
              <w:right w:val="single" w:sz="4" w:space="0" w:color="000000"/>
            </w:tcBorders>
            <w:shd w:val="clear" w:color="auto" w:fill="auto"/>
            <w:vAlign w:val="center"/>
          </w:tcPr>
          <w:p w:rsidR="00214EBB" w:rsidRPr="00983B36" w:rsidRDefault="00214EBB" w:rsidP="00711EDE">
            <w:pPr>
              <w:jc w:val="center"/>
              <w:rPr>
                <w:b/>
                <w:sz w:val="16"/>
                <w:szCs w:val="16"/>
              </w:rPr>
            </w:pPr>
            <w:r w:rsidRPr="00983B36">
              <w:rPr>
                <w:b/>
                <w:sz w:val="16"/>
                <w:szCs w:val="16"/>
              </w:rPr>
              <w:t>No. 50</w:t>
            </w:r>
          </w:p>
        </w:tc>
        <w:tc>
          <w:tcPr>
            <w:tcW w:w="285" w:type="pct"/>
            <w:tcBorders>
              <w:top w:val="nil"/>
              <w:left w:val="nil"/>
              <w:bottom w:val="double" w:sz="6" w:space="0" w:color="000000"/>
              <w:right w:val="double" w:sz="6" w:space="0" w:color="000000"/>
            </w:tcBorders>
            <w:shd w:val="clear" w:color="auto" w:fill="auto"/>
            <w:vAlign w:val="center"/>
          </w:tcPr>
          <w:p w:rsidR="00214EBB" w:rsidRPr="00983B36" w:rsidRDefault="00214EBB" w:rsidP="00711EDE">
            <w:pPr>
              <w:jc w:val="center"/>
              <w:rPr>
                <w:b/>
                <w:sz w:val="16"/>
                <w:szCs w:val="16"/>
              </w:rPr>
            </w:pPr>
            <w:r w:rsidRPr="00983B36">
              <w:rPr>
                <w:b/>
                <w:sz w:val="16"/>
                <w:szCs w:val="16"/>
              </w:rPr>
              <w:t>No. 100</w:t>
            </w:r>
          </w:p>
        </w:tc>
      </w:tr>
      <w:tr w:rsidR="00711EDE" w:rsidRPr="00214EBB" w:rsidTr="00711EDE">
        <w:trPr>
          <w:trHeight w:val="270"/>
          <w:jc w:val="center"/>
        </w:trPr>
        <w:tc>
          <w:tcPr>
            <w:tcW w:w="227" w:type="pct"/>
            <w:tcBorders>
              <w:top w:val="nil"/>
              <w:left w:val="double" w:sz="6" w:space="0" w:color="000000"/>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w:t>
            </w:r>
          </w:p>
        </w:tc>
        <w:tc>
          <w:tcPr>
            <w:tcW w:w="511"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3-1/2 to</w:t>
            </w:r>
            <w:r w:rsidR="00711EDE">
              <w:rPr>
                <w:sz w:val="16"/>
                <w:szCs w:val="16"/>
              </w:rPr>
              <w:t xml:space="preserve"> </w:t>
            </w:r>
            <w:r w:rsidRPr="00983B36">
              <w:rPr>
                <w:sz w:val="16"/>
                <w:szCs w:val="16"/>
              </w:rPr>
              <w:t>1-1/2</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90 to 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25 to 60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15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5" w:type="pct"/>
            <w:tcBorders>
              <w:top w:val="nil"/>
              <w:left w:val="nil"/>
              <w:bottom w:val="single" w:sz="4" w:space="0" w:color="000000"/>
              <w:right w:val="double" w:sz="6" w:space="0" w:color="000000"/>
            </w:tcBorders>
            <w:shd w:val="clear" w:color="auto" w:fill="auto"/>
            <w:vAlign w:val="center"/>
          </w:tcPr>
          <w:p w:rsidR="00214EBB" w:rsidRPr="00983B36" w:rsidRDefault="00214EBB" w:rsidP="00711EDE">
            <w:pPr>
              <w:jc w:val="center"/>
              <w:rPr>
                <w:sz w:val="16"/>
                <w:szCs w:val="16"/>
              </w:rPr>
            </w:pPr>
          </w:p>
        </w:tc>
      </w:tr>
      <w:tr w:rsidR="00711EDE" w:rsidRPr="00214EBB" w:rsidTr="00711EDE">
        <w:trPr>
          <w:trHeight w:val="255"/>
          <w:jc w:val="center"/>
        </w:trPr>
        <w:tc>
          <w:tcPr>
            <w:tcW w:w="227" w:type="pct"/>
            <w:tcBorders>
              <w:top w:val="nil"/>
              <w:left w:val="double" w:sz="6" w:space="0" w:color="000000"/>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2</w:t>
            </w:r>
          </w:p>
        </w:tc>
        <w:tc>
          <w:tcPr>
            <w:tcW w:w="511"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2-1/2</w:t>
            </w:r>
            <w:r w:rsidR="00711EDE">
              <w:rPr>
                <w:sz w:val="16"/>
                <w:szCs w:val="16"/>
              </w:rPr>
              <w:t xml:space="preserve"> </w:t>
            </w:r>
            <w:r w:rsidRPr="00983B36">
              <w:rPr>
                <w:sz w:val="16"/>
                <w:szCs w:val="16"/>
              </w:rPr>
              <w:t>to</w:t>
            </w:r>
            <w:r w:rsidR="00711EDE">
              <w:rPr>
                <w:sz w:val="16"/>
                <w:szCs w:val="16"/>
              </w:rPr>
              <w:t xml:space="preserve"> </w:t>
            </w:r>
            <w:r w:rsidRPr="00983B36">
              <w:rPr>
                <w:sz w:val="16"/>
                <w:szCs w:val="16"/>
              </w:rPr>
              <w:t>1-1/2</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90 to 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35 to 70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15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5" w:type="pct"/>
            <w:tcBorders>
              <w:top w:val="nil"/>
              <w:left w:val="nil"/>
              <w:bottom w:val="single" w:sz="4" w:space="0" w:color="000000"/>
              <w:right w:val="double" w:sz="6" w:space="0" w:color="000000"/>
            </w:tcBorders>
            <w:shd w:val="clear" w:color="auto" w:fill="auto"/>
            <w:vAlign w:val="center"/>
          </w:tcPr>
          <w:p w:rsidR="00214EBB" w:rsidRPr="00983B36" w:rsidRDefault="00214EBB" w:rsidP="00711EDE">
            <w:pPr>
              <w:jc w:val="center"/>
              <w:rPr>
                <w:sz w:val="16"/>
                <w:szCs w:val="16"/>
              </w:rPr>
            </w:pPr>
          </w:p>
        </w:tc>
      </w:tr>
      <w:tr w:rsidR="00711EDE" w:rsidRPr="00214EBB" w:rsidTr="00711EDE">
        <w:trPr>
          <w:trHeight w:val="255"/>
          <w:jc w:val="center"/>
        </w:trPr>
        <w:tc>
          <w:tcPr>
            <w:tcW w:w="227" w:type="pct"/>
            <w:tcBorders>
              <w:top w:val="nil"/>
              <w:left w:val="double" w:sz="6" w:space="0" w:color="000000"/>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24</w:t>
            </w:r>
          </w:p>
        </w:tc>
        <w:tc>
          <w:tcPr>
            <w:tcW w:w="511"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3-1/2</w:t>
            </w:r>
            <w:r w:rsidR="00711EDE">
              <w:rPr>
                <w:sz w:val="16"/>
                <w:szCs w:val="16"/>
              </w:rPr>
              <w:t xml:space="preserve"> </w:t>
            </w:r>
            <w:r w:rsidRPr="00983B36">
              <w:rPr>
                <w:sz w:val="16"/>
                <w:szCs w:val="16"/>
              </w:rPr>
              <w:t>to</w:t>
            </w:r>
            <w:r w:rsidR="00711EDE">
              <w:rPr>
                <w:sz w:val="16"/>
                <w:szCs w:val="16"/>
              </w:rPr>
              <w:t xml:space="preserve"> </w:t>
            </w:r>
            <w:r w:rsidRPr="00983B36">
              <w:rPr>
                <w:sz w:val="16"/>
                <w:szCs w:val="16"/>
              </w:rPr>
              <w:t>3/4</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90 to 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25 to 60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10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5" w:type="pct"/>
            <w:tcBorders>
              <w:top w:val="nil"/>
              <w:left w:val="nil"/>
              <w:bottom w:val="single" w:sz="4" w:space="0" w:color="000000"/>
              <w:right w:val="double" w:sz="6" w:space="0" w:color="000000"/>
            </w:tcBorders>
            <w:shd w:val="clear" w:color="auto" w:fill="auto"/>
            <w:vAlign w:val="center"/>
          </w:tcPr>
          <w:p w:rsidR="00214EBB" w:rsidRPr="00983B36" w:rsidRDefault="00214EBB" w:rsidP="00711EDE">
            <w:pPr>
              <w:jc w:val="center"/>
              <w:rPr>
                <w:sz w:val="16"/>
                <w:szCs w:val="16"/>
              </w:rPr>
            </w:pPr>
          </w:p>
        </w:tc>
      </w:tr>
      <w:tr w:rsidR="00711EDE" w:rsidRPr="00214EBB" w:rsidTr="00711EDE">
        <w:trPr>
          <w:trHeight w:val="255"/>
          <w:jc w:val="center"/>
        </w:trPr>
        <w:tc>
          <w:tcPr>
            <w:tcW w:w="227" w:type="pct"/>
            <w:tcBorders>
              <w:top w:val="nil"/>
              <w:left w:val="double" w:sz="6" w:space="0" w:color="000000"/>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3</w:t>
            </w:r>
          </w:p>
        </w:tc>
        <w:tc>
          <w:tcPr>
            <w:tcW w:w="511"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2 to 1</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90 to 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35 to 70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15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5" w:type="pct"/>
            <w:tcBorders>
              <w:top w:val="nil"/>
              <w:left w:val="nil"/>
              <w:bottom w:val="single" w:sz="4" w:space="0" w:color="000000"/>
              <w:right w:val="double" w:sz="6" w:space="0" w:color="000000"/>
            </w:tcBorders>
            <w:shd w:val="clear" w:color="auto" w:fill="auto"/>
            <w:vAlign w:val="center"/>
          </w:tcPr>
          <w:p w:rsidR="00214EBB" w:rsidRPr="00983B36" w:rsidRDefault="00214EBB" w:rsidP="00711EDE">
            <w:pPr>
              <w:jc w:val="center"/>
              <w:rPr>
                <w:sz w:val="16"/>
                <w:szCs w:val="16"/>
              </w:rPr>
            </w:pPr>
          </w:p>
        </w:tc>
      </w:tr>
      <w:tr w:rsidR="00711EDE" w:rsidRPr="00214EBB" w:rsidTr="00711EDE">
        <w:trPr>
          <w:trHeight w:val="255"/>
          <w:jc w:val="center"/>
        </w:trPr>
        <w:tc>
          <w:tcPr>
            <w:tcW w:w="227" w:type="pct"/>
            <w:tcBorders>
              <w:top w:val="nil"/>
              <w:left w:val="double" w:sz="6" w:space="0" w:color="000000"/>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357</w:t>
            </w:r>
          </w:p>
        </w:tc>
        <w:tc>
          <w:tcPr>
            <w:tcW w:w="511"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2</w:t>
            </w:r>
            <w:r w:rsidR="00711EDE">
              <w:rPr>
                <w:sz w:val="16"/>
                <w:szCs w:val="16"/>
              </w:rPr>
              <w:t xml:space="preserve"> </w:t>
            </w:r>
            <w:r w:rsidRPr="00983B36">
              <w:rPr>
                <w:sz w:val="16"/>
                <w:szCs w:val="16"/>
              </w:rPr>
              <w:t>to</w:t>
            </w:r>
            <w:r w:rsidR="00711EDE">
              <w:rPr>
                <w:sz w:val="16"/>
                <w:szCs w:val="16"/>
              </w:rPr>
              <w:t xml:space="preserve"> </w:t>
            </w:r>
            <w:r w:rsidRPr="00983B36">
              <w:rPr>
                <w:sz w:val="16"/>
                <w:szCs w:val="16"/>
              </w:rPr>
              <w:t>No. 4</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95 to 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35 to 70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10 to 30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5" w:type="pct"/>
            <w:tcBorders>
              <w:top w:val="nil"/>
              <w:left w:val="nil"/>
              <w:bottom w:val="single" w:sz="4" w:space="0" w:color="000000"/>
              <w:right w:val="double" w:sz="6" w:space="0" w:color="000000"/>
            </w:tcBorders>
            <w:shd w:val="clear" w:color="auto" w:fill="auto"/>
            <w:vAlign w:val="center"/>
          </w:tcPr>
          <w:p w:rsidR="00214EBB" w:rsidRPr="00983B36" w:rsidRDefault="00214EBB" w:rsidP="00711EDE">
            <w:pPr>
              <w:jc w:val="center"/>
              <w:rPr>
                <w:sz w:val="16"/>
                <w:szCs w:val="16"/>
              </w:rPr>
            </w:pPr>
          </w:p>
        </w:tc>
      </w:tr>
      <w:tr w:rsidR="00711EDE" w:rsidRPr="00214EBB" w:rsidTr="00711EDE">
        <w:trPr>
          <w:trHeight w:val="255"/>
          <w:jc w:val="center"/>
        </w:trPr>
        <w:tc>
          <w:tcPr>
            <w:tcW w:w="227" w:type="pct"/>
            <w:tcBorders>
              <w:top w:val="nil"/>
              <w:left w:val="double" w:sz="6" w:space="0" w:color="000000"/>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4</w:t>
            </w:r>
          </w:p>
        </w:tc>
        <w:tc>
          <w:tcPr>
            <w:tcW w:w="511"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1-1/2</w:t>
            </w:r>
            <w:r w:rsidR="00711EDE">
              <w:rPr>
                <w:sz w:val="16"/>
                <w:szCs w:val="16"/>
              </w:rPr>
              <w:t xml:space="preserve"> </w:t>
            </w:r>
            <w:r w:rsidRPr="00983B36">
              <w:rPr>
                <w:sz w:val="16"/>
                <w:szCs w:val="16"/>
              </w:rPr>
              <w:t>to</w:t>
            </w:r>
            <w:r w:rsidR="00711EDE">
              <w:rPr>
                <w:sz w:val="16"/>
                <w:szCs w:val="16"/>
              </w:rPr>
              <w:t xml:space="preserve"> </w:t>
            </w:r>
            <w:r w:rsidRPr="00983B36">
              <w:rPr>
                <w:sz w:val="16"/>
                <w:szCs w:val="16"/>
              </w:rPr>
              <w:t>3/4</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90 to 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20 to 55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15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5" w:type="pct"/>
            <w:tcBorders>
              <w:top w:val="nil"/>
              <w:left w:val="nil"/>
              <w:bottom w:val="single" w:sz="4" w:space="0" w:color="000000"/>
              <w:right w:val="double" w:sz="6" w:space="0" w:color="000000"/>
            </w:tcBorders>
            <w:shd w:val="clear" w:color="auto" w:fill="auto"/>
            <w:vAlign w:val="center"/>
          </w:tcPr>
          <w:p w:rsidR="00214EBB" w:rsidRPr="00983B36" w:rsidRDefault="00214EBB" w:rsidP="00711EDE">
            <w:pPr>
              <w:jc w:val="center"/>
              <w:rPr>
                <w:sz w:val="16"/>
                <w:szCs w:val="16"/>
              </w:rPr>
            </w:pPr>
          </w:p>
        </w:tc>
      </w:tr>
      <w:tr w:rsidR="00711EDE" w:rsidRPr="00214EBB" w:rsidTr="00711EDE">
        <w:trPr>
          <w:trHeight w:val="296"/>
          <w:jc w:val="center"/>
        </w:trPr>
        <w:tc>
          <w:tcPr>
            <w:tcW w:w="227" w:type="pct"/>
            <w:tcBorders>
              <w:top w:val="nil"/>
              <w:left w:val="double" w:sz="6" w:space="0" w:color="000000"/>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467</w:t>
            </w:r>
          </w:p>
        </w:tc>
        <w:tc>
          <w:tcPr>
            <w:tcW w:w="511"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1-1/2</w:t>
            </w:r>
            <w:r w:rsidR="00711EDE">
              <w:rPr>
                <w:sz w:val="16"/>
                <w:szCs w:val="16"/>
              </w:rPr>
              <w:t xml:space="preserve"> </w:t>
            </w:r>
            <w:r w:rsidRPr="00983B36">
              <w:rPr>
                <w:sz w:val="16"/>
                <w:szCs w:val="16"/>
              </w:rPr>
              <w:t>to</w:t>
            </w:r>
            <w:r w:rsidR="00711EDE">
              <w:rPr>
                <w:sz w:val="16"/>
                <w:szCs w:val="16"/>
              </w:rPr>
              <w:t xml:space="preserve"> </w:t>
            </w:r>
            <w:r w:rsidRPr="00983B36">
              <w:rPr>
                <w:sz w:val="16"/>
                <w:szCs w:val="16"/>
              </w:rPr>
              <w:t>No. 4</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95 to 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35 to 70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10 to 30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5" w:type="pct"/>
            <w:tcBorders>
              <w:top w:val="nil"/>
              <w:left w:val="nil"/>
              <w:bottom w:val="single" w:sz="4" w:space="0" w:color="000000"/>
              <w:right w:val="double" w:sz="6" w:space="0" w:color="000000"/>
            </w:tcBorders>
            <w:shd w:val="clear" w:color="auto" w:fill="auto"/>
            <w:vAlign w:val="center"/>
          </w:tcPr>
          <w:p w:rsidR="00214EBB" w:rsidRPr="00983B36" w:rsidRDefault="00214EBB" w:rsidP="00711EDE">
            <w:pPr>
              <w:jc w:val="center"/>
              <w:rPr>
                <w:sz w:val="16"/>
                <w:szCs w:val="16"/>
              </w:rPr>
            </w:pPr>
          </w:p>
        </w:tc>
      </w:tr>
      <w:tr w:rsidR="00711EDE" w:rsidRPr="00214EBB" w:rsidTr="00711EDE">
        <w:trPr>
          <w:trHeight w:val="255"/>
          <w:jc w:val="center"/>
        </w:trPr>
        <w:tc>
          <w:tcPr>
            <w:tcW w:w="227" w:type="pct"/>
            <w:tcBorders>
              <w:top w:val="nil"/>
              <w:left w:val="double" w:sz="6" w:space="0" w:color="000000"/>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5</w:t>
            </w:r>
          </w:p>
        </w:tc>
        <w:tc>
          <w:tcPr>
            <w:tcW w:w="511"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 to 1/2</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90 to 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20 to 55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10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5" w:type="pct"/>
            <w:tcBorders>
              <w:top w:val="nil"/>
              <w:left w:val="nil"/>
              <w:bottom w:val="single" w:sz="4" w:space="0" w:color="000000"/>
              <w:right w:val="double" w:sz="6" w:space="0" w:color="000000"/>
            </w:tcBorders>
            <w:shd w:val="clear" w:color="auto" w:fill="auto"/>
            <w:vAlign w:val="center"/>
          </w:tcPr>
          <w:p w:rsidR="00214EBB" w:rsidRPr="00983B36" w:rsidRDefault="00214EBB" w:rsidP="00711EDE">
            <w:pPr>
              <w:jc w:val="center"/>
              <w:rPr>
                <w:sz w:val="16"/>
                <w:szCs w:val="16"/>
              </w:rPr>
            </w:pPr>
          </w:p>
        </w:tc>
      </w:tr>
      <w:tr w:rsidR="00711EDE" w:rsidRPr="00214EBB" w:rsidTr="00711EDE">
        <w:trPr>
          <w:trHeight w:val="255"/>
          <w:jc w:val="center"/>
        </w:trPr>
        <w:tc>
          <w:tcPr>
            <w:tcW w:w="227" w:type="pct"/>
            <w:tcBorders>
              <w:top w:val="nil"/>
              <w:left w:val="double" w:sz="6" w:space="0" w:color="000000"/>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56</w:t>
            </w:r>
          </w:p>
        </w:tc>
        <w:tc>
          <w:tcPr>
            <w:tcW w:w="511"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 to 3/8</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90 to 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40 to 75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15 to 35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15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5" w:type="pct"/>
            <w:tcBorders>
              <w:top w:val="nil"/>
              <w:left w:val="nil"/>
              <w:bottom w:val="single" w:sz="4" w:space="0" w:color="000000"/>
              <w:right w:val="double" w:sz="6" w:space="0" w:color="000000"/>
            </w:tcBorders>
            <w:shd w:val="clear" w:color="auto" w:fill="auto"/>
            <w:vAlign w:val="center"/>
          </w:tcPr>
          <w:p w:rsidR="00214EBB" w:rsidRPr="00983B36" w:rsidRDefault="00214EBB" w:rsidP="00711EDE">
            <w:pPr>
              <w:jc w:val="center"/>
              <w:rPr>
                <w:sz w:val="16"/>
                <w:szCs w:val="16"/>
              </w:rPr>
            </w:pPr>
          </w:p>
        </w:tc>
      </w:tr>
      <w:tr w:rsidR="00711EDE" w:rsidRPr="00214EBB" w:rsidTr="00711EDE">
        <w:trPr>
          <w:trHeight w:val="255"/>
          <w:jc w:val="center"/>
        </w:trPr>
        <w:tc>
          <w:tcPr>
            <w:tcW w:w="227" w:type="pct"/>
            <w:tcBorders>
              <w:top w:val="nil"/>
              <w:left w:val="double" w:sz="6" w:space="0" w:color="000000"/>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57</w:t>
            </w:r>
          </w:p>
        </w:tc>
        <w:tc>
          <w:tcPr>
            <w:tcW w:w="511"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w:t>
            </w:r>
            <w:r w:rsidR="00711EDE">
              <w:rPr>
                <w:sz w:val="16"/>
                <w:szCs w:val="16"/>
              </w:rPr>
              <w:t xml:space="preserve"> </w:t>
            </w:r>
            <w:r w:rsidRPr="00983B36">
              <w:rPr>
                <w:sz w:val="16"/>
                <w:szCs w:val="16"/>
              </w:rPr>
              <w:t>to</w:t>
            </w:r>
            <w:r w:rsidR="00711EDE">
              <w:rPr>
                <w:sz w:val="16"/>
                <w:szCs w:val="16"/>
              </w:rPr>
              <w:t xml:space="preserve"> </w:t>
            </w:r>
            <w:r w:rsidRPr="00983B36">
              <w:rPr>
                <w:sz w:val="16"/>
                <w:szCs w:val="16"/>
              </w:rPr>
              <w:t>No. 4</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95 to 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25 to 60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10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5" w:type="pct"/>
            <w:tcBorders>
              <w:top w:val="nil"/>
              <w:left w:val="nil"/>
              <w:bottom w:val="single" w:sz="4" w:space="0" w:color="000000"/>
              <w:right w:val="double" w:sz="6" w:space="0" w:color="000000"/>
            </w:tcBorders>
            <w:shd w:val="clear" w:color="auto" w:fill="auto"/>
            <w:vAlign w:val="center"/>
          </w:tcPr>
          <w:p w:rsidR="00214EBB" w:rsidRPr="00983B36" w:rsidRDefault="00214EBB" w:rsidP="00711EDE">
            <w:pPr>
              <w:jc w:val="center"/>
              <w:rPr>
                <w:sz w:val="16"/>
                <w:szCs w:val="16"/>
              </w:rPr>
            </w:pPr>
          </w:p>
        </w:tc>
      </w:tr>
      <w:tr w:rsidR="00711EDE" w:rsidRPr="00214EBB" w:rsidTr="00711EDE">
        <w:trPr>
          <w:trHeight w:val="255"/>
          <w:jc w:val="center"/>
        </w:trPr>
        <w:tc>
          <w:tcPr>
            <w:tcW w:w="227" w:type="pct"/>
            <w:tcBorders>
              <w:top w:val="nil"/>
              <w:left w:val="double" w:sz="6" w:space="0" w:color="000000"/>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6</w:t>
            </w:r>
          </w:p>
        </w:tc>
        <w:tc>
          <w:tcPr>
            <w:tcW w:w="511"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3/4</w:t>
            </w:r>
            <w:r w:rsidR="00711EDE">
              <w:rPr>
                <w:sz w:val="16"/>
                <w:szCs w:val="16"/>
              </w:rPr>
              <w:t xml:space="preserve"> t</w:t>
            </w:r>
            <w:r w:rsidRPr="00983B36">
              <w:rPr>
                <w:sz w:val="16"/>
                <w:szCs w:val="16"/>
              </w:rPr>
              <w:t>o</w:t>
            </w:r>
            <w:r w:rsidR="00711EDE">
              <w:rPr>
                <w:sz w:val="16"/>
                <w:szCs w:val="16"/>
              </w:rPr>
              <w:t xml:space="preserve"> </w:t>
            </w:r>
            <w:r w:rsidRPr="00983B36">
              <w:rPr>
                <w:sz w:val="16"/>
                <w:szCs w:val="16"/>
              </w:rPr>
              <w:t>3/8</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90 to 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20 to 55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15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5" w:type="pct"/>
            <w:tcBorders>
              <w:top w:val="nil"/>
              <w:left w:val="nil"/>
              <w:bottom w:val="single" w:sz="4" w:space="0" w:color="000000"/>
              <w:right w:val="double" w:sz="6" w:space="0" w:color="000000"/>
            </w:tcBorders>
            <w:shd w:val="clear" w:color="auto" w:fill="auto"/>
            <w:vAlign w:val="center"/>
          </w:tcPr>
          <w:p w:rsidR="00214EBB" w:rsidRPr="00983B36" w:rsidRDefault="00214EBB" w:rsidP="00711EDE">
            <w:pPr>
              <w:jc w:val="center"/>
              <w:rPr>
                <w:sz w:val="16"/>
                <w:szCs w:val="16"/>
              </w:rPr>
            </w:pPr>
          </w:p>
        </w:tc>
      </w:tr>
      <w:tr w:rsidR="00711EDE" w:rsidRPr="00214EBB" w:rsidTr="00711EDE">
        <w:trPr>
          <w:trHeight w:val="255"/>
          <w:jc w:val="center"/>
        </w:trPr>
        <w:tc>
          <w:tcPr>
            <w:tcW w:w="227" w:type="pct"/>
            <w:tcBorders>
              <w:top w:val="nil"/>
              <w:left w:val="double" w:sz="6" w:space="0" w:color="000000"/>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67</w:t>
            </w:r>
          </w:p>
        </w:tc>
        <w:tc>
          <w:tcPr>
            <w:tcW w:w="511"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3/4</w:t>
            </w:r>
            <w:r w:rsidR="00711EDE">
              <w:rPr>
                <w:sz w:val="16"/>
                <w:szCs w:val="16"/>
              </w:rPr>
              <w:t xml:space="preserve"> </w:t>
            </w:r>
            <w:r w:rsidRPr="00983B36">
              <w:rPr>
                <w:sz w:val="16"/>
                <w:szCs w:val="16"/>
              </w:rPr>
              <w:t>to</w:t>
            </w:r>
            <w:r w:rsidR="00711EDE">
              <w:rPr>
                <w:sz w:val="16"/>
                <w:szCs w:val="16"/>
              </w:rPr>
              <w:t xml:space="preserve"> </w:t>
            </w:r>
            <w:r w:rsidRPr="00983B36">
              <w:rPr>
                <w:sz w:val="16"/>
                <w:szCs w:val="16"/>
              </w:rPr>
              <w:t>No. 4</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90 to 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20 to 55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10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5" w:type="pct"/>
            <w:tcBorders>
              <w:top w:val="nil"/>
              <w:left w:val="nil"/>
              <w:bottom w:val="single" w:sz="4" w:space="0" w:color="000000"/>
              <w:right w:val="double" w:sz="6" w:space="0" w:color="000000"/>
            </w:tcBorders>
            <w:shd w:val="clear" w:color="auto" w:fill="auto"/>
            <w:vAlign w:val="center"/>
          </w:tcPr>
          <w:p w:rsidR="00214EBB" w:rsidRPr="00983B36" w:rsidRDefault="00214EBB" w:rsidP="00711EDE">
            <w:pPr>
              <w:jc w:val="center"/>
              <w:rPr>
                <w:sz w:val="16"/>
                <w:szCs w:val="16"/>
              </w:rPr>
            </w:pPr>
          </w:p>
        </w:tc>
      </w:tr>
      <w:tr w:rsidR="00711EDE" w:rsidRPr="00214EBB" w:rsidTr="00711EDE">
        <w:trPr>
          <w:trHeight w:val="255"/>
          <w:jc w:val="center"/>
        </w:trPr>
        <w:tc>
          <w:tcPr>
            <w:tcW w:w="227" w:type="pct"/>
            <w:tcBorders>
              <w:top w:val="nil"/>
              <w:left w:val="double" w:sz="6" w:space="0" w:color="000000"/>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68</w:t>
            </w:r>
          </w:p>
        </w:tc>
        <w:tc>
          <w:tcPr>
            <w:tcW w:w="511"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3/4</w:t>
            </w:r>
            <w:r w:rsidR="00711EDE">
              <w:rPr>
                <w:sz w:val="16"/>
                <w:szCs w:val="16"/>
              </w:rPr>
              <w:t xml:space="preserve"> </w:t>
            </w:r>
            <w:r w:rsidRPr="00983B36">
              <w:rPr>
                <w:sz w:val="16"/>
                <w:szCs w:val="16"/>
              </w:rPr>
              <w:t>to</w:t>
            </w:r>
            <w:r w:rsidR="00711EDE">
              <w:rPr>
                <w:sz w:val="16"/>
                <w:szCs w:val="16"/>
              </w:rPr>
              <w:t xml:space="preserve"> </w:t>
            </w:r>
            <w:r w:rsidRPr="00983B36">
              <w:rPr>
                <w:sz w:val="16"/>
                <w:szCs w:val="16"/>
              </w:rPr>
              <w:t>No. 8</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90 to 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30 to 65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5 to 25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10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5" w:type="pct"/>
            <w:tcBorders>
              <w:top w:val="nil"/>
              <w:left w:val="nil"/>
              <w:bottom w:val="single" w:sz="4" w:space="0" w:color="000000"/>
              <w:right w:val="double" w:sz="6" w:space="0" w:color="000000"/>
            </w:tcBorders>
            <w:shd w:val="clear" w:color="auto" w:fill="auto"/>
            <w:vAlign w:val="center"/>
          </w:tcPr>
          <w:p w:rsidR="00214EBB" w:rsidRPr="00983B36" w:rsidRDefault="00214EBB" w:rsidP="00711EDE">
            <w:pPr>
              <w:jc w:val="center"/>
              <w:rPr>
                <w:sz w:val="16"/>
                <w:szCs w:val="16"/>
              </w:rPr>
            </w:pPr>
          </w:p>
        </w:tc>
      </w:tr>
      <w:tr w:rsidR="00711EDE" w:rsidRPr="00214EBB" w:rsidTr="00711EDE">
        <w:trPr>
          <w:trHeight w:val="255"/>
          <w:jc w:val="center"/>
        </w:trPr>
        <w:tc>
          <w:tcPr>
            <w:tcW w:w="227" w:type="pct"/>
            <w:tcBorders>
              <w:top w:val="nil"/>
              <w:left w:val="double" w:sz="6" w:space="0" w:color="000000"/>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7</w:t>
            </w:r>
          </w:p>
        </w:tc>
        <w:tc>
          <w:tcPr>
            <w:tcW w:w="511"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1/2</w:t>
            </w:r>
            <w:r w:rsidR="00711EDE">
              <w:rPr>
                <w:sz w:val="16"/>
                <w:szCs w:val="16"/>
              </w:rPr>
              <w:t xml:space="preserve"> </w:t>
            </w:r>
            <w:r w:rsidRPr="00983B36">
              <w:rPr>
                <w:sz w:val="16"/>
                <w:szCs w:val="16"/>
              </w:rPr>
              <w:t>to</w:t>
            </w:r>
            <w:r w:rsidR="00711EDE">
              <w:rPr>
                <w:sz w:val="16"/>
                <w:szCs w:val="16"/>
              </w:rPr>
              <w:t xml:space="preserve"> </w:t>
            </w:r>
            <w:r w:rsidRPr="00983B36">
              <w:rPr>
                <w:sz w:val="16"/>
                <w:szCs w:val="16"/>
              </w:rPr>
              <w:t>No. 4</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90 to 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40 to 70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15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5" w:type="pct"/>
            <w:tcBorders>
              <w:top w:val="nil"/>
              <w:left w:val="nil"/>
              <w:bottom w:val="single" w:sz="4" w:space="0" w:color="000000"/>
              <w:right w:val="double" w:sz="6" w:space="0" w:color="000000"/>
            </w:tcBorders>
            <w:shd w:val="clear" w:color="auto" w:fill="auto"/>
            <w:vAlign w:val="center"/>
          </w:tcPr>
          <w:p w:rsidR="00214EBB" w:rsidRPr="00983B36" w:rsidRDefault="00214EBB" w:rsidP="00711EDE">
            <w:pPr>
              <w:jc w:val="center"/>
              <w:rPr>
                <w:sz w:val="16"/>
                <w:szCs w:val="16"/>
              </w:rPr>
            </w:pPr>
          </w:p>
        </w:tc>
      </w:tr>
      <w:tr w:rsidR="00711EDE" w:rsidRPr="00214EBB" w:rsidTr="00711EDE">
        <w:trPr>
          <w:trHeight w:val="255"/>
          <w:jc w:val="center"/>
        </w:trPr>
        <w:tc>
          <w:tcPr>
            <w:tcW w:w="227" w:type="pct"/>
            <w:tcBorders>
              <w:top w:val="nil"/>
              <w:left w:val="double" w:sz="6" w:space="0" w:color="000000"/>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78</w:t>
            </w:r>
          </w:p>
        </w:tc>
        <w:tc>
          <w:tcPr>
            <w:tcW w:w="511"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1/2</w:t>
            </w:r>
            <w:r w:rsidR="00711EDE">
              <w:rPr>
                <w:sz w:val="16"/>
                <w:szCs w:val="16"/>
              </w:rPr>
              <w:t xml:space="preserve"> </w:t>
            </w:r>
            <w:r w:rsidRPr="00983B36">
              <w:rPr>
                <w:sz w:val="16"/>
                <w:szCs w:val="16"/>
              </w:rPr>
              <w:t>to</w:t>
            </w:r>
            <w:r w:rsidR="00711EDE">
              <w:rPr>
                <w:sz w:val="16"/>
                <w:szCs w:val="16"/>
              </w:rPr>
              <w:t xml:space="preserve"> </w:t>
            </w:r>
            <w:r w:rsidRPr="00983B36">
              <w:rPr>
                <w:sz w:val="16"/>
                <w:szCs w:val="16"/>
              </w:rPr>
              <w:t>No. 8</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90 to 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40 to 75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5 to 25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10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5" w:type="pct"/>
            <w:tcBorders>
              <w:top w:val="nil"/>
              <w:left w:val="nil"/>
              <w:bottom w:val="single" w:sz="4" w:space="0" w:color="000000"/>
              <w:right w:val="double" w:sz="6" w:space="0" w:color="000000"/>
            </w:tcBorders>
            <w:shd w:val="clear" w:color="auto" w:fill="auto"/>
            <w:vAlign w:val="center"/>
          </w:tcPr>
          <w:p w:rsidR="00214EBB" w:rsidRPr="00983B36" w:rsidRDefault="00214EBB" w:rsidP="00711EDE">
            <w:pPr>
              <w:jc w:val="center"/>
              <w:rPr>
                <w:sz w:val="16"/>
                <w:szCs w:val="16"/>
              </w:rPr>
            </w:pPr>
          </w:p>
        </w:tc>
      </w:tr>
      <w:tr w:rsidR="00711EDE" w:rsidRPr="00214EBB" w:rsidTr="00711EDE">
        <w:trPr>
          <w:trHeight w:val="255"/>
          <w:jc w:val="center"/>
        </w:trPr>
        <w:tc>
          <w:tcPr>
            <w:tcW w:w="227" w:type="pct"/>
            <w:tcBorders>
              <w:top w:val="nil"/>
              <w:left w:val="double" w:sz="6" w:space="0" w:color="000000"/>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8</w:t>
            </w:r>
          </w:p>
        </w:tc>
        <w:tc>
          <w:tcPr>
            <w:tcW w:w="511"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3/8 to</w:t>
            </w:r>
            <w:r w:rsidR="00711EDE">
              <w:rPr>
                <w:sz w:val="16"/>
                <w:szCs w:val="16"/>
              </w:rPr>
              <w:t xml:space="preserve"> </w:t>
            </w:r>
            <w:r w:rsidRPr="00983B36">
              <w:rPr>
                <w:sz w:val="16"/>
                <w:szCs w:val="16"/>
              </w:rPr>
              <w:t>No. 8</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85 to 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10 to 30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10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5" w:type="pct"/>
            <w:tcBorders>
              <w:top w:val="nil"/>
              <w:left w:val="nil"/>
              <w:bottom w:val="single" w:sz="4" w:space="0" w:color="000000"/>
              <w:right w:val="double" w:sz="6" w:space="0" w:color="000000"/>
            </w:tcBorders>
            <w:shd w:val="clear" w:color="auto" w:fill="auto"/>
            <w:vAlign w:val="center"/>
          </w:tcPr>
          <w:p w:rsidR="00214EBB" w:rsidRPr="00983B36" w:rsidRDefault="00214EBB" w:rsidP="00711EDE">
            <w:pPr>
              <w:jc w:val="center"/>
              <w:rPr>
                <w:sz w:val="16"/>
                <w:szCs w:val="16"/>
              </w:rPr>
            </w:pPr>
          </w:p>
        </w:tc>
      </w:tr>
      <w:tr w:rsidR="00711EDE" w:rsidRPr="00214EBB" w:rsidTr="00711EDE">
        <w:trPr>
          <w:trHeight w:val="255"/>
          <w:jc w:val="center"/>
        </w:trPr>
        <w:tc>
          <w:tcPr>
            <w:tcW w:w="227" w:type="pct"/>
            <w:tcBorders>
              <w:top w:val="nil"/>
              <w:left w:val="double" w:sz="6" w:space="0" w:color="000000"/>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89</w:t>
            </w:r>
          </w:p>
        </w:tc>
        <w:tc>
          <w:tcPr>
            <w:tcW w:w="511"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3/8 to</w:t>
            </w:r>
            <w:r w:rsidR="00711EDE">
              <w:rPr>
                <w:sz w:val="16"/>
                <w:szCs w:val="16"/>
              </w:rPr>
              <w:t xml:space="preserve"> </w:t>
            </w:r>
            <w:r w:rsidRPr="00983B36">
              <w:rPr>
                <w:sz w:val="16"/>
                <w:szCs w:val="16"/>
              </w:rPr>
              <w:t>No. 16</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90 to 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20 to 55</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5 to 30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10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5</w:t>
            </w:r>
          </w:p>
        </w:tc>
        <w:tc>
          <w:tcPr>
            <w:tcW w:w="285" w:type="pct"/>
            <w:tcBorders>
              <w:top w:val="nil"/>
              <w:left w:val="nil"/>
              <w:bottom w:val="single" w:sz="4" w:space="0" w:color="000000"/>
              <w:right w:val="double" w:sz="6" w:space="0" w:color="000000"/>
            </w:tcBorders>
            <w:shd w:val="clear" w:color="auto" w:fill="auto"/>
            <w:vAlign w:val="center"/>
          </w:tcPr>
          <w:p w:rsidR="00214EBB" w:rsidRPr="00983B36" w:rsidRDefault="00214EBB" w:rsidP="00711EDE">
            <w:pPr>
              <w:jc w:val="center"/>
              <w:rPr>
                <w:sz w:val="16"/>
                <w:szCs w:val="16"/>
              </w:rPr>
            </w:pPr>
          </w:p>
        </w:tc>
      </w:tr>
      <w:tr w:rsidR="00711EDE" w:rsidRPr="00214EBB" w:rsidTr="00711EDE">
        <w:trPr>
          <w:trHeight w:val="224"/>
          <w:jc w:val="center"/>
        </w:trPr>
        <w:tc>
          <w:tcPr>
            <w:tcW w:w="227" w:type="pct"/>
            <w:tcBorders>
              <w:top w:val="nil"/>
              <w:left w:val="double" w:sz="6" w:space="0" w:color="000000"/>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9</w:t>
            </w:r>
          </w:p>
        </w:tc>
        <w:tc>
          <w:tcPr>
            <w:tcW w:w="511"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No. 4 to</w:t>
            </w:r>
            <w:r w:rsidR="00711EDE">
              <w:rPr>
                <w:sz w:val="16"/>
                <w:szCs w:val="16"/>
              </w:rPr>
              <w:t xml:space="preserve"> </w:t>
            </w:r>
            <w:r w:rsidRPr="00983B36">
              <w:rPr>
                <w:sz w:val="16"/>
                <w:szCs w:val="16"/>
              </w:rPr>
              <w:t>No. 16</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85 to 100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10 to 40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10</w:t>
            </w:r>
          </w:p>
        </w:tc>
        <w:tc>
          <w:tcPr>
            <w:tcW w:w="284" w:type="pct"/>
            <w:tcBorders>
              <w:top w:val="nil"/>
              <w:left w:val="nil"/>
              <w:bottom w:val="single" w:sz="4"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0 to 5</w:t>
            </w:r>
          </w:p>
        </w:tc>
        <w:tc>
          <w:tcPr>
            <w:tcW w:w="285" w:type="pct"/>
            <w:tcBorders>
              <w:top w:val="nil"/>
              <w:left w:val="nil"/>
              <w:bottom w:val="single" w:sz="4" w:space="0" w:color="000000"/>
              <w:right w:val="double" w:sz="6" w:space="0" w:color="000000"/>
            </w:tcBorders>
            <w:shd w:val="clear" w:color="auto" w:fill="auto"/>
            <w:vAlign w:val="center"/>
          </w:tcPr>
          <w:p w:rsidR="00214EBB" w:rsidRPr="00983B36" w:rsidRDefault="00214EBB" w:rsidP="00711EDE">
            <w:pPr>
              <w:jc w:val="center"/>
              <w:rPr>
                <w:sz w:val="16"/>
                <w:szCs w:val="16"/>
              </w:rPr>
            </w:pPr>
          </w:p>
        </w:tc>
      </w:tr>
      <w:tr w:rsidR="00711EDE" w:rsidRPr="00214EBB" w:rsidTr="00711EDE">
        <w:trPr>
          <w:trHeight w:val="270"/>
          <w:jc w:val="center"/>
        </w:trPr>
        <w:tc>
          <w:tcPr>
            <w:tcW w:w="227" w:type="pct"/>
            <w:tcBorders>
              <w:top w:val="nil"/>
              <w:left w:val="double" w:sz="6" w:space="0" w:color="000000"/>
              <w:bottom w:val="double" w:sz="6"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10</w:t>
            </w:r>
          </w:p>
        </w:tc>
        <w:tc>
          <w:tcPr>
            <w:tcW w:w="511" w:type="pct"/>
            <w:tcBorders>
              <w:top w:val="nil"/>
              <w:left w:val="nil"/>
              <w:bottom w:val="double" w:sz="6"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No. 4</w:t>
            </w:r>
            <w:r w:rsidR="00711EDE">
              <w:rPr>
                <w:sz w:val="16"/>
                <w:szCs w:val="16"/>
              </w:rPr>
              <w:t xml:space="preserve"> </w:t>
            </w:r>
            <w:r w:rsidRPr="00983B36">
              <w:rPr>
                <w:sz w:val="16"/>
                <w:szCs w:val="16"/>
              </w:rPr>
              <w:t>to 0 (2)</w:t>
            </w:r>
          </w:p>
        </w:tc>
        <w:tc>
          <w:tcPr>
            <w:tcW w:w="284" w:type="pct"/>
            <w:tcBorders>
              <w:top w:val="nil"/>
              <w:left w:val="nil"/>
              <w:bottom w:val="double" w:sz="6"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double" w:sz="6"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double" w:sz="6"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double" w:sz="6"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double" w:sz="6"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double" w:sz="6"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double" w:sz="6"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double" w:sz="6"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double" w:sz="6"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double" w:sz="6"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100</w:t>
            </w:r>
          </w:p>
        </w:tc>
        <w:tc>
          <w:tcPr>
            <w:tcW w:w="284" w:type="pct"/>
            <w:tcBorders>
              <w:top w:val="nil"/>
              <w:left w:val="nil"/>
              <w:bottom w:val="double" w:sz="6" w:space="0" w:color="000000"/>
              <w:right w:val="single" w:sz="4"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85 to 100</w:t>
            </w:r>
          </w:p>
        </w:tc>
        <w:tc>
          <w:tcPr>
            <w:tcW w:w="284" w:type="pct"/>
            <w:tcBorders>
              <w:top w:val="nil"/>
              <w:left w:val="nil"/>
              <w:bottom w:val="double" w:sz="6"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double" w:sz="6"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4" w:type="pct"/>
            <w:tcBorders>
              <w:top w:val="nil"/>
              <w:left w:val="nil"/>
              <w:bottom w:val="double" w:sz="6" w:space="0" w:color="000000"/>
              <w:right w:val="single" w:sz="4" w:space="0" w:color="000000"/>
            </w:tcBorders>
            <w:shd w:val="clear" w:color="auto" w:fill="auto"/>
            <w:vAlign w:val="center"/>
          </w:tcPr>
          <w:p w:rsidR="00214EBB" w:rsidRPr="00983B36" w:rsidRDefault="00214EBB" w:rsidP="00711EDE">
            <w:pPr>
              <w:jc w:val="center"/>
              <w:rPr>
                <w:sz w:val="16"/>
                <w:szCs w:val="16"/>
              </w:rPr>
            </w:pPr>
          </w:p>
        </w:tc>
        <w:tc>
          <w:tcPr>
            <w:tcW w:w="285" w:type="pct"/>
            <w:tcBorders>
              <w:top w:val="nil"/>
              <w:left w:val="nil"/>
              <w:bottom w:val="double" w:sz="6" w:space="0" w:color="000000"/>
              <w:right w:val="double" w:sz="6" w:space="0" w:color="000000"/>
            </w:tcBorders>
            <w:shd w:val="clear" w:color="auto" w:fill="auto"/>
            <w:vAlign w:val="center"/>
          </w:tcPr>
          <w:p w:rsidR="00214EBB" w:rsidRPr="00983B36" w:rsidRDefault="00214EBB" w:rsidP="00711EDE">
            <w:pPr>
              <w:jc w:val="center"/>
              <w:rPr>
                <w:sz w:val="16"/>
                <w:szCs w:val="16"/>
              </w:rPr>
            </w:pPr>
            <w:r w:rsidRPr="00983B36">
              <w:rPr>
                <w:sz w:val="16"/>
                <w:szCs w:val="16"/>
              </w:rPr>
              <w:t>10 to 30</w:t>
            </w:r>
          </w:p>
        </w:tc>
      </w:tr>
      <w:tr w:rsidR="00214EBB" w:rsidRPr="00214EBB" w:rsidTr="00711EDE">
        <w:trPr>
          <w:trHeight w:val="270"/>
          <w:jc w:val="center"/>
        </w:trPr>
        <w:tc>
          <w:tcPr>
            <w:tcW w:w="4999" w:type="pct"/>
            <w:gridSpan w:val="17"/>
            <w:tcBorders>
              <w:top w:val="nil"/>
              <w:left w:val="nil"/>
              <w:bottom w:val="nil"/>
              <w:right w:val="nil"/>
            </w:tcBorders>
            <w:shd w:val="clear" w:color="auto" w:fill="auto"/>
            <w:vAlign w:val="bottom"/>
          </w:tcPr>
          <w:p w:rsidR="00214EBB" w:rsidRPr="00983B36" w:rsidRDefault="00214EBB" w:rsidP="00DF35C4">
            <w:pPr>
              <w:rPr>
                <w:sz w:val="16"/>
                <w:szCs w:val="16"/>
              </w:rPr>
            </w:pPr>
            <w:r w:rsidRPr="00983B36">
              <w:rPr>
                <w:sz w:val="16"/>
                <w:szCs w:val="16"/>
              </w:rPr>
              <w:t xml:space="preserve">(1) In </w:t>
            </w:r>
            <w:r w:rsidR="00DF35C4">
              <w:rPr>
                <w:sz w:val="16"/>
                <w:szCs w:val="16"/>
              </w:rPr>
              <w:t>inches</w:t>
            </w:r>
            <w:r w:rsidRPr="00983B36">
              <w:rPr>
                <w:sz w:val="16"/>
                <w:szCs w:val="16"/>
              </w:rPr>
              <w:t xml:space="preserve">, except where otherwise indicated. </w:t>
            </w:r>
            <w:r w:rsidR="00711EDE">
              <w:rPr>
                <w:sz w:val="16"/>
                <w:szCs w:val="16"/>
              </w:rPr>
              <w:t xml:space="preserve"> </w:t>
            </w:r>
            <w:r w:rsidRPr="00983B36">
              <w:rPr>
                <w:sz w:val="16"/>
                <w:szCs w:val="16"/>
              </w:rPr>
              <w:t>Numbered sieves are those of the United States Standard Sieve Series.</w:t>
            </w:r>
          </w:p>
        </w:tc>
      </w:tr>
      <w:tr w:rsidR="00214EBB" w:rsidRPr="00214EBB" w:rsidTr="00711EDE">
        <w:trPr>
          <w:trHeight w:val="255"/>
          <w:jc w:val="center"/>
        </w:trPr>
        <w:tc>
          <w:tcPr>
            <w:tcW w:w="4999" w:type="pct"/>
            <w:gridSpan w:val="17"/>
            <w:tcBorders>
              <w:top w:val="nil"/>
              <w:left w:val="nil"/>
              <w:bottom w:val="nil"/>
              <w:right w:val="nil"/>
            </w:tcBorders>
            <w:shd w:val="clear" w:color="auto" w:fill="auto"/>
            <w:vAlign w:val="bottom"/>
          </w:tcPr>
          <w:p w:rsidR="00214EBB" w:rsidRPr="00983B36" w:rsidRDefault="00214EBB">
            <w:pPr>
              <w:rPr>
                <w:sz w:val="16"/>
                <w:szCs w:val="16"/>
              </w:rPr>
            </w:pPr>
            <w:r w:rsidRPr="00983B36">
              <w:rPr>
                <w:sz w:val="16"/>
                <w:szCs w:val="16"/>
              </w:rPr>
              <w:t>(2) Screenings.</w:t>
            </w:r>
          </w:p>
        </w:tc>
      </w:tr>
      <w:tr w:rsidR="00214EBB" w:rsidRPr="00214EBB" w:rsidTr="00711EDE">
        <w:trPr>
          <w:trHeight w:val="585"/>
          <w:jc w:val="center"/>
        </w:trPr>
        <w:tc>
          <w:tcPr>
            <w:tcW w:w="4999" w:type="pct"/>
            <w:gridSpan w:val="17"/>
            <w:tcBorders>
              <w:top w:val="nil"/>
              <w:left w:val="nil"/>
              <w:bottom w:val="nil"/>
              <w:right w:val="nil"/>
            </w:tcBorders>
            <w:shd w:val="clear" w:color="auto" w:fill="auto"/>
            <w:vAlign w:val="bottom"/>
          </w:tcPr>
          <w:p w:rsidR="00214EBB" w:rsidRPr="00983B36" w:rsidRDefault="00214EBB">
            <w:pPr>
              <w:rPr>
                <w:sz w:val="16"/>
                <w:szCs w:val="16"/>
              </w:rPr>
            </w:pPr>
            <w:r w:rsidRPr="00983B36">
              <w:rPr>
                <w:sz w:val="16"/>
                <w:szCs w:val="16"/>
              </w:rPr>
              <w:t>Where standard sizes of coarse aggregate designated by two or three digit numbers are specified, the specified gradation may be obtained by combining the appropriate single digit standard size aggregates by a suitable proportioning device which has a separate compartment for each coarse aggregate combined. The blending shall be done as directed by the Laboratory.</w:t>
            </w:r>
          </w:p>
        </w:tc>
      </w:tr>
    </w:tbl>
    <w:p w:rsidR="007122E1" w:rsidRDefault="007122E1" w:rsidP="0088557A">
      <w:pPr>
        <w:pStyle w:val="APTechParagraph"/>
        <w:sectPr w:rsidR="007122E1" w:rsidSect="00C20218">
          <w:headerReference w:type="default" r:id="rId37"/>
          <w:footerReference w:type="default" r:id="rId38"/>
          <w:pgSz w:w="15840" w:h="12240" w:orient="landscape" w:code="1"/>
          <w:pgMar w:top="1440" w:right="1008" w:bottom="1440" w:left="1152" w:header="720" w:footer="720" w:gutter="0"/>
          <w:paperSrc w:first="7" w:other="7"/>
          <w:cols w:space="720"/>
          <w:docGrid w:linePitch="326"/>
        </w:sectPr>
      </w:pPr>
    </w:p>
    <w:p w:rsidR="00AB6D6C" w:rsidRDefault="00AB6D6C" w:rsidP="00AB6D6C">
      <w:pPr>
        <w:pStyle w:val="Heading2"/>
      </w:pPr>
      <w:bookmarkStart w:id="58" w:name="_Toc295918616"/>
      <w:r w:rsidRPr="004276E0">
        <w:lastRenderedPageBreak/>
        <w:t>Asphalt</w:t>
      </w:r>
      <w:bookmarkEnd w:id="58"/>
      <w:r>
        <w:t xml:space="preserve"> Pavement</w:t>
      </w:r>
    </w:p>
    <w:p w:rsidR="00AB6D6C" w:rsidRDefault="00AB6D6C" w:rsidP="00AB6D6C">
      <w:r>
        <w:t>This section will describe and summarize the various aspects of asphalt binders, additives and modifiers, asphalt pavement mix types, and asphalt mixture design methods.</w:t>
      </w:r>
    </w:p>
    <w:p w:rsidR="00AB6D6C" w:rsidRPr="00AB6CA2" w:rsidRDefault="00AB6D6C" w:rsidP="00AB6D6C"/>
    <w:p w:rsidR="00AB6D6C" w:rsidRDefault="00AB6D6C" w:rsidP="00AB6D6C">
      <w:pPr>
        <w:pStyle w:val="Heading3"/>
      </w:pPr>
      <w:bookmarkStart w:id="59" w:name="_Toc295918617"/>
      <w:r>
        <w:t>Asphalt Binder T</w:t>
      </w:r>
      <w:r w:rsidRPr="00127EE6">
        <w:t>ypes</w:t>
      </w:r>
      <w:bookmarkEnd w:id="59"/>
    </w:p>
    <w:p w:rsidR="00AB6D6C" w:rsidRPr="00E527F6" w:rsidRDefault="00AB6D6C" w:rsidP="00AB6D6C">
      <w:pPr>
        <w:rPr>
          <w:color w:val="FF0000"/>
        </w:rPr>
      </w:pPr>
      <w:r>
        <w:t xml:space="preserve">A variety of asphalt binders are commonly used in the construction of asphalt pavements.  This section will describe asphalt cement, emulsified asphalt, </w:t>
      </w:r>
      <w:r w:rsidR="00E527F6">
        <w:t xml:space="preserve">and </w:t>
      </w:r>
      <w:r>
        <w:t>cutback asphalt</w:t>
      </w:r>
      <w:r w:rsidR="00E527F6">
        <w:t xml:space="preserve"> binders. </w:t>
      </w:r>
      <w:r>
        <w:t xml:space="preserve"> </w:t>
      </w:r>
      <w:r w:rsidR="00E527F6" w:rsidRPr="00E527F6">
        <w:rPr>
          <w:color w:val="FF0000"/>
        </w:rPr>
        <w:t>B</w:t>
      </w:r>
      <w:r w:rsidRPr="00E527F6">
        <w:rPr>
          <w:color w:val="FF0000"/>
        </w:rPr>
        <w:t>io-derived asphalt binders</w:t>
      </w:r>
      <w:r w:rsidR="00E527F6" w:rsidRPr="00E527F6">
        <w:rPr>
          <w:color w:val="FF0000"/>
        </w:rPr>
        <w:t xml:space="preserve"> are being developed but will not be described here.</w:t>
      </w:r>
    </w:p>
    <w:p w:rsidR="00AB6D6C" w:rsidRPr="00AB6CA2" w:rsidRDefault="00AB6D6C" w:rsidP="00AB6D6C"/>
    <w:p w:rsidR="00AB6D6C" w:rsidRDefault="00AB6D6C" w:rsidP="00AB6D6C">
      <w:pPr>
        <w:pStyle w:val="Heading4"/>
      </w:pPr>
      <w:bookmarkStart w:id="60" w:name="_Toc295918618"/>
      <w:r>
        <w:t>A</w:t>
      </w:r>
      <w:r w:rsidRPr="00127EE6">
        <w:t xml:space="preserve">sphalt </w:t>
      </w:r>
      <w:r>
        <w:t>C</w:t>
      </w:r>
      <w:r w:rsidRPr="00127EE6">
        <w:t>ement</w:t>
      </w:r>
      <w:r>
        <w:t xml:space="preserve"> Binders</w:t>
      </w:r>
      <w:bookmarkEnd w:id="60"/>
    </w:p>
    <w:p w:rsidR="00277456" w:rsidRDefault="00AB6D6C" w:rsidP="00AB6D6C">
      <w:r>
        <w:t>Asphalt cement is derived from petroleum, being the carefully refined residue that remains after the lighter fractions are removed during distillation</w:t>
      </w:r>
      <w:r w:rsidR="00277456">
        <w:t xml:space="preserve"> (</w:t>
      </w:r>
      <w:r w:rsidR="00AA7638">
        <w:t>Figure 3-12).</w:t>
      </w:r>
      <w:r>
        <w:t xml:space="preserve">  It is different from tar, which is produced through the destructive distillation of coal.  </w:t>
      </w:r>
    </w:p>
    <w:p w:rsidR="00277456" w:rsidRDefault="00277456" w:rsidP="00AB6D6C"/>
    <w:p w:rsidR="00AB6D6C" w:rsidRDefault="00AB6D6C" w:rsidP="00AB6D6C">
      <w:r>
        <w:t xml:space="preserve">Asphalt cement is a visco-elastic material, meaning it possesses both viscous and elastic properties.  The properties are significantly impacted by temperature.  For example, at </w:t>
      </w:r>
      <w:r w:rsidR="00D9395A" w:rsidRPr="00D9395A">
        <w:rPr>
          <w:color w:val="FF0000"/>
        </w:rPr>
        <w:t>elevated</w:t>
      </w:r>
      <w:r w:rsidR="00D9395A">
        <w:t xml:space="preserve"> </w:t>
      </w:r>
      <w:r>
        <w:t>temperature, asphalt cement is either a highly viscous/semi-solid material that will briefly maintain its shape but will slowly deform and flow under gravity.  As it is cooled, it becomes close to an elastic solid that is susceptible to cracking.  Heating asphalt cement will eliminate its elastic properties, whereas it becomes a viscous liquid.  It is asphalt’s visco-elastic properties that allows heated asphalt cement to be mixed with heated aggregate, transported, placed, and compacted to create paved surfaces that will carry traffic with minimal deformation upon cooling.</w:t>
      </w:r>
    </w:p>
    <w:p w:rsidR="00AB6D6C" w:rsidRDefault="00AB6D6C" w:rsidP="00AB6D6C"/>
    <w:p w:rsidR="00AB6D6C" w:rsidRDefault="00AB6D6C" w:rsidP="00AB6D6C">
      <w:r>
        <w:t>The properties of the asphalt cement at various temperatures influences constructability, high-temperature rutting, intermediate-temperature fatigue cracking, and cold-temperature thermal cracking.  Asphalt cement also stiffens as it ages (primarily due to volatilization and oxidation but other factors play a role), a phenomenon that must also be considered when choosing asphalt cement for given climatic and traffic conditions.</w:t>
      </w:r>
    </w:p>
    <w:p w:rsidR="00AB6D6C" w:rsidRDefault="00AB6D6C" w:rsidP="00AB6D6C"/>
    <w:p w:rsidR="00AB6D6C" w:rsidRDefault="00AB6D6C" w:rsidP="00AB6D6C">
      <w:r>
        <w:t>The visco-elastic and aging characteristics of asphalt binder are considered in the Superpave performance-graded (PG) binder specifications.  Binder constructability is assessed at high temperature using a rotational viscometer (RV), which measures the viscosity of the asphalt binder for the purpose of selecting mixing and compaction temperatures.  The dynamic shear rheometer (DSR) is used to measure both the viscous and elastic behavior of the asphalt binder at the high-end of in-service temperatures to assess the potential for rutting under traffic.  Testing is conducted before aging and after short-term aging using the rolling thin-film oven (RTFO) test, which is used to simulate oxidative aging that would be expected to occur during construction.  This is because the potential for rutting would be higher before the binder aged and stiffened excessively.  The DSR results are used to determine the complex shear modulus (G</w:t>
      </w:r>
      <w:r>
        <w:rPr>
          <w:vertAlign w:val="superscript"/>
        </w:rPr>
        <w:t>*</w:t>
      </w:r>
      <w:r>
        <w:t>) and phase angle (δ) from which the binder’s resistance to shear deformation in the linear elastic region is defined.  For rutting, a minimum value is established for the ratio of G</w:t>
      </w:r>
      <w:r>
        <w:rPr>
          <w:vertAlign w:val="superscript"/>
        </w:rPr>
        <w:t>*</w:t>
      </w:r>
      <w:r>
        <w:t>/sin(δ) to ensure that the asphalt binder is sufficiently stiff to resist rutting.</w:t>
      </w:r>
    </w:p>
    <w:p w:rsidR="00AB6D6C" w:rsidRDefault="00AB6D6C" w:rsidP="00D67539"/>
    <w:p w:rsidR="00D67539" w:rsidRDefault="00D67539" w:rsidP="00D67539">
      <w:r>
        <w:t xml:space="preserve">The DSR is also used to test the asphalt binder at intermediate temperature to evaluate the potential for fatigue cracking.  In this case, the binder that has already undergone aging in the RTFO is placed in the pressure aging vessel (PAV) to simulate long-term oxidative aging of </w:t>
      </w:r>
      <w:r>
        <w:lastRenderedPageBreak/>
        <w:t>approximately 5 to 10 years in-service.  The same G</w:t>
      </w:r>
      <w:r>
        <w:rPr>
          <w:vertAlign w:val="superscript"/>
        </w:rPr>
        <w:t>*</w:t>
      </w:r>
      <w:r>
        <w:t xml:space="preserve"> and δ are determined, but in this case the specification is established to ensure that the binder has not undergone excessive hardening as this would result in a greater propensity for fatigue cracking.  Therefore a maximum limit is set for the parameter G</w:t>
      </w:r>
      <w:r>
        <w:rPr>
          <w:vertAlign w:val="superscript"/>
        </w:rPr>
        <w:t>*</w:t>
      </w:r>
      <w:r>
        <w:t>sin(δ).</w:t>
      </w:r>
    </w:p>
    <w:p w:rsidR="00F53B64" w:rsidRDefault="00F53B64" w:rsidP="00D67539"/>
    <w:p w:rsidR="00F53B64" w:rsidRPr="00F53B64" w:rsidRDefault="00F53B64" w:rsidP="00D67539">
      <w:pPr>
        <w:rPr>
          <w:color w:val="FF0000"/>
        </w:rPr>
      </w:pPr>
      <w:r w:rsidRPr="00F53B64">
        <w:rPr>
          <w:color w:val="FF0000"/>
        </w:rPr>
        <w:t>Another procedure, AASHTO MP19, Standard Specification for Performance-Graded Asphalt Binder Using Multiple Creep Recovery Test (MSCR) uses a different binder grading terminology and a different test method for DSR.</w:t>
      </w:r>
    </w:p>
    <w:p w:rsidR="00D67539" w:rsidRDefault="00D67539" w:rsidP="00D67539"/>
    <w:p w:rsidR="00D67539" w:rsidRDefault="00447753" w:rsidP="00D67539">
      <w:r>
        <w:rPr>
          <w:color w:val="7030A0"/>
        </w:rPr>
        <w:t>A combination of creep compliance and tensi</w:t>
      </w:r>
      <w:r w:rsidR="007C5379">
        <w:rPr>
          <w:color w:val="7030A0"/>
        </w:rPr>
        <w:t>le strength</w:t>
      </w:r>
      <w:r>
        <w:rPr>
          <w:color w:val="7030A0"/>
        </w:rPr>
        <w:t xml:space="preserve"> is used to determine an asphalt binder’s susceptibility to </w:t>
      </w:r>
      <w:r w:rsidR="00D67539">
        <w:t>thermal cracking</w:t>
      </w:r>
      <w:r>
        <w:t xml:space="preserve">. </w:t>
      </w:r>
      <w:r w:rsidR="009A6650">
        <w:rPr>
          <w:color w:val="7030A0"/>
        </w:rPr>
        <w:t xml:space="preserve"> </w:t>
      </w:r>
      <w:r>
        <w:rPr>
          <w:color w:val="7030A0"/>
        </w:rPr>
        <w:t>The c</w:t>
      </w:r>
      <w:r w:rsidR="009A6650">
        <w:rPr>
          <w:color w:val="7030A0"/>
        </w:rPr>
        <w:t xml:space="preserve">reep compliance </w:t>
      </w:r>
      <w:r>
        <w:rPr>
          <w:color w:val="7030A0"/>
        </w:rPr>
        <w:t xml:space="preserve">is measured on an </w:t>
      </w:r>
      <w:r w:rsidR="00D67539">
        <w:t>asphalt binder</w:t>
      </w:r>
      <w:r w:rsidR="009A6650">
        <w:t xml:space="preserve">, </w:t>
      </w:r>
      <w:r>
        <w:rPr>
          <w:color w:val="7030A0"/>
        </w:rPr>
        <w:t xml:space="preserve">after undergoing </w:t>
      </w:r>
      <w:r w:rsidR="00D67539">
        <w:t>short-term RTFO and long-term PAV aging</w:t>
      </w:r>
      <w:r w:rsidR="009A6650">
        <w:t>,</w:t>
      </w:r>
      <w:r w:rsidR="00D67539">
        <w:t xml:space="preserve"> </w:t>
      </w:r>
      <w:r w:rsidR="009A6650">
        <w:rPr>
          <w:color w:val="7030A0"/>
        </w:rPr>
        <w:t>using</w:t>
      </w:r>
      <w:r w:rsidR="00D67539">
        <w:t xml:space="preserve"> a bending beam rheometer (BBR)</w:t>
      </w:r>
      <w:r w:rsidR="004718D1">
        <w:t xml:space="preserve"> </w:t>
      </w:r>
      <w:r w:rsidR="004718D1">
        <w:rPr>
          <w:color w:val="7030A0"/>
        </w:rPr>
        <w:t>at low temperatures</w:t>
      </w:r>
      <w:r w:rsidR="00D67539">
        <w:t xml:space="preserve">.  </w:t>
      </w:r>
      <w:r w:rsidR="008F1EE0">
        <w:rPr>
          <w:color w:val="7030A0"/>
        </w:rPr>
        <w:t xml:space="preserve">The </w:t>
      </w:r>
      <w:r w:rsidR="00ED3C90">
        <w:rPr>
          <w:color w:val="7030A0"/>
        </w:rPr>
        <w:t xml:space="preserve">higher </w:t>
      </w:r>
      <w:r w:rsidR="008F1EE0">
        <w:rPr>
          <w:color w:val="7030A0"/>
        </w:rPr>
        <w:t xml:space="preserve">the creep compliance number, the less stiff an asphalt binder is at cold temperatures, and the greater its ability </w:t>
      </w:r>
      <w:r w:rsidR="009A6650">
        <w:t>to resist cold-temperature cracking.</w:t>
      </w:r>
      <w:r w:rsidR="008F1EE0">
        <w:t xml:space="preserve">  </w:t>
      </w:r>
      <w:r w:rsidR="008F1EE0">
        <w:rPr>
          <w:color w:val="7030A0"/>
        </w:rPr>
        <w:t xml:space="preserve">The </w:t>
      </w:r>
      <w:r w:rsidR="00D67539" w:rsidRPr="008F1EE0">
        <w:rPr>
          <w:color w:val="7030A0"/>
        </w:rPr>
        <w:t>tens</w:t>
      </w:r>
      <w:r w:rsidR="008F1EE0">
        <w:rPr>
          <w:color w:val="7030A0"/>
        </w:rPr>
        <w:t>ile strength</w:t>
      </w:r>
      <w:r w:rsidR="00D67539">
        <w:t xml:space="preserve"> of </w:t>
      </w:r>
      <w:r w:rsidR="004718D1">
        <w:t>an</w:t>
      </w:r>
      <w:r w:rsidR="00D67539">
        <w:t xml:space="preserve"> </w:t>
      </w:r>
      <w:r w:rsidR="008F1EE0">
        <w:rPr>
          <w:color w:val="7030A0"/>
        </w:rPr>
        <w:t xml:space="preserve">asphalt </w:t>
      </w:r>
      <w:r w:rsidR="00D67539">
        <w:t xml:space="preserve">binder </w:t>
      </w:r>
      <w:r w:rsidR="008F1EE0">
        <w:rPr>
          <w:color w:val="7030A0"/>
        </w:rPr>
        <w:t xml:space="preserve">is also measured </w:t>
      </w:r>
      <w:r w:rsidR="00D67539">
        <w:t>at low temperatures</w:t>
      </w:r>
      <w:r w:rsidR="008F1EE0">
        <w:t xml:space="preserve">.  </w:t>
      </w:r>
      <w:r w:rsidR="008F1EE0">
        <w:rPr>
          <w:color w:val="7030A0"/>
        </w:rPr>
        <w:t>The higher the tensile strength of the binder, the greater its ability to resist cold-temperature cracking.</w:t>
      </w:r>
    </w:p>
    <w:p w:rsidR="00D67539" w:rsidRDefault="00D67539" w:rsidP="0060457F"/>
    <w:p w:rsidR="00032EB8" w:rsidRDefault="00032EB8" w:rsidP="00A806A8">
      <w:pPr>
        <w:tabs>
          <w:tab w:val="left" w:pos="2070"/>
        </w:tabs>
      </w:pPr>
      <w:r>
        <w:t>Based on this testing, asphalt binders are Performance Graded (PG) for specific environmental and loading conditions.  In this approach, the average seven-day maximum pavement design temperature (</w:t>
      </w:r>
      <w:r>
        <w:rPr>
          <w:vertAlign w:val="superscript"/>
        </w:rPr>
        <w:t>°</w:t>
      </w:r>
      <w:r>
        <w:t>C) and minimum pavement design temperature (</w:t>
      </w:r>
      <w:r>
        <w:rPr>
          <w:vertAlign w:val="superscript"/>
        </w:rPr>
        <w:t>°</w:t>
      </w:r>
      <w:r>
        <w:t>C) are selected based on historical climatic data, pavement temperature models, and the level of desired reliability.  Reliability is chosen based on the level of service the pavement is being designed to provide.  For example, a low volume local road may be designed for a reliability level of 50 to 70 percent, meaning that the pavement is expected to have a 50 to 70 percent chance of reaching its design life without exceeding critical levels of rutting, fatigue cracking, or low-temperature cracking (based on binder properties).  This level of reliability would be insufficient for a more critical pavement such as an urban interstate, which would likely be designed to have a reliability of 95 to 98 percent.  The Virtual Superpave Laboratory provides a summary of the methodology used in the performance-graded asphalt binder specifications (NAPA 2010)</w:t>
      </w:r>
      <w:r w:rsidRPr="002D5AA4">
        <w:rPr>
          <w:color w:val="000000" w:themeColor="text1"/>
        </w:rPr>
        <w:t xml:space="preserve">.  </w:t>
      </w:r>
      <w:r>
        <w:t xml:space="preserve">The specifications as presented in AASHTO M 320, </w:t>
      </w:r>
      <w:r>
        <w:rPr>
          <w:i/>
        </w:rPr>
        <w:t>Standard Specification for Performance-Graded Asphalt Binder</w:t>
      </w:r>
      <w:r>
        <w:t xml:space="preserve">, are summarized in Table </w:t>
      </w:r>
      <w:r w:rsidR="00A806A8">
        <w:t>3-6</w:t>
      </w:r>
      <w:r>
        <w:t>.</w:t>
      </w:r>
    </w:p>
    <w:p w:rsidR="00032EB8" w:rsidRDefault="00032EB8" w:rsidP="00032EB8"/>
    <w:p w:rsidR="00032EB8" w:rsidRDefault="00032EB8" w:rsidP="00032EB8">
      <w:r>
        <w:t>As is seen in Table</w:t>
      </w:r>
      <w:r w:rsidR="00A806A8">
        <w:t xml:space="preserve"> 3-6</w:t>
      </w:r>
      <w:r>
        <w:t>, the PG binder is selected once the minimum and maximum pavement design temperatures are determined.  For example, if the seven-day maximum pavement design temperature is 58</w:t>
      </w:r>
      <w:r>
        <w:rPr>
          <w:vertAlign w:val="superscript"/>
        </w:rPr>
        <w:t>°</w:t>
      </w:r>
      <w:r>
        <w:t>C and the minimum pavement design temperature is -28</w:t>
      </w:r>
      <w:r>
        <w:rPr>
          <w:vertAlign w:val="superscript"/>
        </w:rPr>
        <w:t>°</w:t>
      </w:r>
      <w:r>
        <w:t>C, the appropriate binder would be a PG 58-28, where the first number corresponds to the high temperature and the second number to the low temperature requirements.</w:t>
      </w:r>
    </w:p>
    <w:p w:rsidR="00032EB8" w:rsidRDefault="00032EB8" w:rsidP="0060457F"/>
    <w:p w:rsidR="00AB6CA2" w:rsidRDefault="00AB6CA2" w:rsidP="006F331D">
      <w:pPr>
        <w:jc w:val="center"/>
      </w:pPr>
      <w:r>
        <w:rPr>
          <w:noProof/>
        </w:rPr>
        <w:lastRenderedPageBreak/>
        <w:drawing>
          <wp:inline distT="0" distB="0" distL="0" distR="0">
            <wp:extent cx="4515007" cy="5991225"/>
            <wp:effectExtent l="19050" t="0" r="0" b="0"/>
            <wp:docPr id="2" name="Picture 1" descr="AC Distallatio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 Distallation0001.jpg"/>
                    <pic:cNvPicPr/>
                  </pic:nvPicPr>
                  <pic:blipFill>
                    <a:blip r:embed="rId39" cstate="print"/>
                    <a:stretch>
                      <a:fillRect/>
                    </a:stretch>
                  </pic:blipFill>
                  <pic:spPr>
                    <a:xfrm>
                      <a:off x="0" y="0"/>
                      <a:ext cx="4517332" cy="5994311"/>
                    </a:xfrm>
                    <a:prstGeom prst="rect">
                      <a:avLst/>
                    </a:prstGeom>
                  </pic:spPr>
                </pic:pic>
              </a:graphicData>
            </a:graphic>
          </wp:inline>
        </w:drawing>
      </w:r>
    </w:p>
    <w:p w:rsidR="00AB6CA2" w:rsidRPr="00BB47FB" w:rsidRDefault="00AB6CA2" w:rsidP="004B4E81">
      <w:pPr>
        <w:pStyle w:val="APTechFigureCaption"/>
      </w:pPr>
      <w:bookmarkStart w:id="61" w:name="_Ref274549063"/>
      <w:bookmarkStart w:id="62" w:name="f16"/>
      <w:bookmarkStart w:id="63" w:name="_Toc295918040"/>
      <w:r>
        <w:t>Figure</w:t>
      </w:r>
      <w:bookmarkEnd w:id="61"/>
      <w:r w:rsidR="002918A7">
        <w:t xml:space="preserve"> 3</w:t>
      </w:r>
      <w:r w:rsidR="00F3038B">
        <w:t>-</w:t>
      </w:r>
      <w:r w:rsidR="002918A7">
        <w:t>1</w:t>
      </w:r>
      <w:bookmarkEnd w:id="62"/>
      <w:r w:rsidR="00CC4DEE">
        <w:t>2</w:t>
      </w:r>
      <w:r>
        <w:t xml:space="preserve">.  Distillation of crude petroleum (Asphalt Institute </w:t>
      </w:r>
      <w:r w:rsidR="00F371CA">
        <w:t>2007</w:t>
      </w:r>
      <w:r>
        <w:t>).</w:t>
      </w:r>
      <w:bookmarkEnd w:id="63"/>
    </w:p>
    <w:p w:rsidR="0060457F" w:rsidRDefault="0060457F" w:rsidP="006F331D"/>
    <w:p w:rsidR="000413D4" w:rsidRDefault="000413D4" w:rsidP="0060457F"/>
    <w:p w:rsidR="0066733E" w:rsidRDefault="0066733E" w:rsidP="000413D4"/>
    <w:p w:rsidR="00010C84" w:rsidRDefault="00010C84" w:rsidP="006F331D">
      <w:pPr>
        <w:sectPr w:rsidR="00010C84" w:rsidSect="00983B36">
          <w:headerReference w:type="default" r:id="rId40"/>
          <w:footerReference w:type="default" r:id="rId41"/>
          <w:pgSz w:w="12240" w:h="15840" w:code="1"/>
          <w:pgMar w:top="1152" w:right="1440" w:bottom="1008" w:left="1440" w:header="720" w:footer="720" w:gutter="0"/>
          <w:paperSrc w:first="7" w:other="7"/>
          <w:cols w:space="720"/>
          <w:docGrid w:linePitch="326"/>
        </w:sectPr>
      </w:pPr>
    </w:p>
    <w:p w:rsidR="00010C84" w:rsidRDefault="00010C84" w:rsidP="00010C84">
      <w:pPr>
        <w:pStyle w:val="Heading9"/>
      </w:pPr>
      <w:bookmarkStart w:id="64" w:name="_Toc295918114"/>
      <w:r>
        <w:t xml:space="preserve">Table </w:t>
      </w:r>
      <w:bookmarkStart w:id="65" w:name="t7"/>
      <w:r>
        <w:t>3-</w:t>
      </w:r>
      <w:bookmarkEnd w:id="65"/>
      <w:r w:rsidR="00CC4DEE">
        <w:t>6</w:t>
      </w:r>
      <w:r>
        <w:t>.  Performance graded asphalt binder specification (AASHTO 2009) Used by permission.</w:t>
      </w:r>
      <w:bookmarkEnd w:id="64"/>
    </w:p>
    <w:p w:rsidR="0019645D" w:rsidRPr="0019645D" w:rsidRDefault="0019645D" w:rsidP="0019645D">
      <w:pPr>
        <w:jc w:val="center"/>
      </w:pPr>
      <w:r>
        <w:rPr>
          <w:noProof/>
        </w:rPr>
        <w:drawing>
          <wp:inline distT="0" distB="0" distL="0" distR="0">
            <wp:extent cx="8412480" cy="5084466"/>
            <wp:effectExtent l="19050" t="0" r="7620" b="0"/>
            <wp:docPr id="10" name="Picture 9" descr="Performance Gr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formance Grade.jpg"/>
                    <pic:cNvPicPr/>
                  </pic:nvPicPr>
                  <pic:blipFill>
                    <a:blip r:embed="rId42" cstate="print"/>
                    <a:srcRect l="11207" t="11491" r="3057" b="2599"/>
                    <a:stretch>
                      <a:fillRect/>
                    </a:stretch>
                  </pic:blipFill>
                  <pic:spPr>
                    <a:xfrm>
                      <a:off x="0" y="0"/>
                      <a:ext cx="8412480" cy="5084466"/>
                    </a:xfrm>
                    <a:prstGeom prst="rect">
                      <a:avLst/>
                    </a:prstGeom>
                  </pic:spPr>
                </pic:pic>
              </a:graphicData>
            </a:graphic>
          </wp:inline>
        </w:drawing>
      </w:r>
    </w:p>
    <w:p w:rsidR="00A8208A" w:rsidRDefault="00A8208A" w:rsidP="00010C84">
      <w:pPr>
        <w:jc w:val="center"/>
      </w:pPr>
    </w:p>
    <w:p w:rsidR="00A8208A" w:rsidRDefault="00A8208A" w:rsidP="00A8208A">
      <w:pPr>
        <w:ind w:left="630"/>
      </w:pPr>
    </w:p>
    <w:p w:rsidR="00010C84" w:rsidRDefault="00010C84" w:rsidP="006F331D">
      <w:pPr>
        <w:sectPr w:rsidR="00010C84" w:rsidSect="00010C84">
          <w:headerReference w:type="default" r:id="rId43"/>
          <w:footerReference w:type="default" r:id="rId44"/>
          <w:pgSz w:w="15840" w:h="12240" w:orient="landscape" w:code="1"/>
          <w:pgMar w:top="1440" w:right="1152" w:bottom="1440" w:left="1008" w:header="720" w:footer="720" w:gutter="0"/>
          <w:paperSrc w:first="7" w:other="7"/>
          <w:cols w:space="720"/>
          <w:docGrid w:linePitch="326"/>
        </w:sectPr>
      </w:pPr>
    </w:p>
    <w:p w:rsidR="00AB6CA2" w:rsidRDefault="00AB6CA2" w:rsidP="006F331D">
      <w:r>
        <w:t>PG binders are specified at 6</w:t>
      </w:r>
      <w:r w:rsidR="002D5AA4">
        <w:rPr>
          <w:vertAlign w:val="superscript"/>
        </w:rPr>
        <w:t>°</w:t>
      </w:r>
      <w:r>
        <w:t xml:space="preserve">C increments as shown in </w:t>
      </w:r>
      <w:r w:rsidR="00F3038B">
        <w:t xml:space="preserve">Table </w:t>
      </w:r>
      <w:r w:rsidR="00A806A8">
        <w:t>3-7.</w:t>
      </w:r>
      <w:r>
        <w:t xml:space="preserve">  This often requires that the binder is rounded up to the next highest temperature grade and/or rounded down to the next lowest temperature grade.  For example, if the maximum seven-day maximum pavement design temperature and the minimum pavement design temperature are 61</w:t>
      </w:r>
      <w:r w:rsidR="002D5AA4">
        <w:rPr>
          <w:vertAlign w:val="superscript"/>
        </w:rPr>
        <w:t>°</w:t>
      </w:r>
      <w:r>
        <w:t>C and -20</w:t>
      </w:r>
      <w:r w:rsidR="002D5AA4">
        <w:rPr>
          <w:vertAlign w:val="superscript"/>
        </w:rPr>
        <w:t>°</w:t>
      </w:r>
      <w:r>
        <w:t>C, respectively, the appropri</w:t>
      </w:r>
      <w:r w:rsidR="006F331D">
        <w:t>ate binder would be a PG 64-22.</w:t>
      </w:r>
    </w:p>
    <w:p w:rsidR="000413D4" w:rsidRDefault="000413D4" w:rsidP="006F331D"/>
    <w:p w:rsidR="00AB6CA2" w:rsidRPr="00514872" w:rsidRDefault="002D5AA4" w:rsidP="002D5AA4">
      <w:pPr>
        <w:pStyle w:val="Heading9"/>
      </w:pPr>
      <w:bookmarkStart w:id="66" w:name="_Toc295918115"/>
      <w:r>
        <w:t>Table</w:t>
      </w:r>
      <w:r w:rsidR="00C11CBD">
        <w:rPr>
          <w:rStyle w:val="Heading9Char"/>
        </w:rPr>
        <w:t xml:space="preserve"> </w:t>
      </w:r>
      <w:bookmarkStart w:id="67" w:name="t8"/>
      <w:r w:rsidR="00F3038B">
        <w:t>3-</w:t>
      </w:r>
      <w:bookmarkEnd w:id="67"/>
      <w:r w:rsidR="00CC4DEE">
        <w:t>7</w:t>
      </w:r>
      <w:r>
        <w:t xml:space="preserve">.  </w:t>
      </w:r>
      <w:r w:rsidR="00AB6CA2">
        <w:t>Binder grades in the performance-graded asphalt binder specifications.</w:t>
      </w:r>
      <w:bookmarkEnd w:id="66"/>
    </w:p>
    <w:tbl>
      <w:tblPr>
        <w:tblStyle w:val="TableGrid"/>
        <w:tblW w:w="0" w:type="auto"/>
        <w:jc w:val="center"/>
        <w:tblInd w:w="720" w:type="dxa"/>
        <w:tblBorders>
          <w:top w:val="double" w:sz="4" w:space="0" w:color="auto"/>
          <w:left w:val="double" w:sz="4" w:space="0" w:color="auto"/>
          <w:bottom w:val="double" w:sz="4" w:space="0" w:color="auto"/>
          <w:right w:val="double" w:sz="4" w:space="0" w:color="auto"/>
          <w:insideH w:val="single" w:sz="4" w:space="0" w:color="000000" w:themeColor="text1"/>
          <w:insideV w:val="single" w:sz="4" w:space="0" w:color="000000" w:themeColor="text1"/>
        </w:tblBorders>
        <w:tblLook w:val="04A0" w:firstRow="1" w:lastRow="0" w:firstColumn="1" w:lastColumn="0" w:noHBand="0" w:noVBand="1"/>
      </w:tblPr>
      <w:tblGrid>
        <w:gridCol w:w="1728"/>
        <w:gridCol w:w="3744"/>
      </w:tblGrid>
      <w:tr w:rsidR="00AB6CA2" w:rsidRPr="002D5AA4" w:rsidTr="00DC6795">
        <w:trPr>
          <w:jc w:val="center"/>
        </w:trPr>
        <w:tc>
          <w:tcPr>
            <w:tcW w:w="1728" w:type="dxa"/>
            <w:tcBorders>
              <w:top w:val="double" w:sz="4" w:space="0" w:color="auto"/>
              <w:bottom w:val="double" w:sz="4" w:space="0" w:color="auto"/>
            </w:tcBorders>
            <w:vAlign w:val="center"/>
          </w:tcPr>
          <w:p w:rsidR="00AB6CA2" w:rsidRPr="002D5AA4" w:rsidRDefault="00AB6CA2" w:rsidP="002D5AA4">
            <w:pPr>
              <w:jc w:val="center"/>
              <w:rPr>
                <w:b/>
              </w:rPr>
            </w:pPr>
            <w:r w:rsidRPr="002D5AA4">
              <w:rPr>
                <w:b/>
              </w:rPr>
              <w:t>High</w:t>
            </w:r>
            <w:r w:rsidR="002D5AA4">
              <w:rPr>
                <w:b/>
              </w:rPr>
              <w:br/>
            </w:r>
            <w:r w:rsidRPr="002D5AA4">
              <w:rPr>
                <w:b/>
              </w:rPr>
              <w:t>Temperature Grades</w:t>
            </w:r>
            <w:r w:rsidR="002D5AA4">
              <w:rPr>
                <w:b/>
              </w:rPr>
              <w:br/>
            </w:r>
            <w:r w:rsidRPr="002D5AA4">
              <w:rPr>
                <w:b/>
              </w:rPr>
              <w:t>(</w:t>
            </w:r>
            <w:r w:rsidR="002D5AA4">
              <w:rPr>
                <w:b/>
                <w:vertAlign w:val="superscript"/>
              </w:rPr>
              <w:t>°</w:t>
            </w:r>
            <w:r w:rsidRPr="002D5AA4">
              <w:rPr>
                <w:b/>
              </w:rPr>
              <w:t>C)</w:t>
            </w:r>
          </w:p>
        </w:tc>
        <w:tc>
          <w:tcPr>
            <w:tcW w:w="3744" w:type="dxa"/>
            <w:tcBorders>
              <w:top w:val="double" w:sz="4" w:space="0" w:color="auto"/>
              <w:bottom w:val="double" w:sz="4" w:space="0" w:color="auto"/>
            </w:tcBorders>
            <w:vAlign w:val="center"/>
          </w:tcPr>
          <w:p w:rsidR="00AB6CA2" w:rsidRPr="002D5AA4" w:rsidRDefault="00AB6CA2" w:rsidP="002D5AA4">
            <w:pPr>
              <w:jc w:val="center"/>
              <w:rPr>
                <w:b/>
              </w:rPr>
            </w:pPr>
            <w:r w:rsidRPr="002D5AA4">
              <w:rPr>
                <w:b/>
              </w:rPr>
              <w:t>Low</w:t>
            </w:r>
            <w:r w:rsidR="002D5AA4">
              <w:rPr>
                <w:b/>
              </w:rPr>
              <w:br/>
            </w:r>
            <w:r w:rsidRPr="002D5AA4">
              <w:rPr>
                <w:b/>
              </w:rPr>
              <w:t>Temperature</w:t>
            </w:r>
            <w:r w:rsidR="002D5AA4">
              <w:rPr>
                <w:b/>
              </w:rPr>
              <w:br/>
            </w:r>
            <w:r w:rsidRPr="002D5AA4">
              <w:rPr>
                <w:b/>
              </w:rPr>
              <w:t>Grades</w:t>
            </w:r>
            <w:r w:rsidR="002D5AA4">
              <w:rPr>
                <w:b/>
              </w:rPr>
              <w:br/>
            </w:r>
            <w:r w:rsidRPr="002D5AA4">
              <w:rPr>
                <w:b/>
              </w:rPr>
              <w:t>(</w:t>
            </w:r>
            <w:r w:rsidR="002D5AA4">
              <w:rPr>
                <w:b/>
                <w:vertAlign w:val="superscript"/>
              </w:rPr>
              <w:t>°</w:t>
            </w:r>
            <w:r w:rsidRPr="002D5AA4">
              <w:rPr>
                <w:b/>
              </w:rPr>
              <w:t>C)</w:t>
            </w:r>
          </w:p>
        </w:tc>
      </w:tr>
      <w:tr w:rsidR="00AB6CA2" w:rsidTr="00DC6795">
        <w:trPr>
          <w:jc w:val="center"/>
        </w:trPr>
        <w:tc>
          <w:tcPr>
            <w:tcW w:w="1728" w:type="dxa"/>
            <w:tcBorders>
              <w:top w:val="double" w:sz="4" w:space="0" w:color="auto"/>
            </w:tcBorders>
          </w:tcPr>
          <w:p w:rsidR="00AB6CA2" w:rsidRDefault="00AB6CA2" w:rsidP="002D5AA4">
            <w:pPr>
              <w:jc w:val="center"/>
            </w:pPr>
            <w:r>
              <w:t>PG 46</w:t>
            </w:r>
          </w:p>
        </w:tc>
        <w:tc>
          <w:tcPr>
            <w:tcW w:w="3744" w:type="dxa"/>
            <w:tcBorders>
              <w:top w:val="double" w:sz="4" w:space="0" w:color="auto"/>
            </w:tcBorders>
            <w:vAlign w:val="center"/>
          </w:tcPr>
          <w:p w:rsidR="00AB6CA2" w:rsidRDefault="00AB6CA2" w:rsidP="002D5AA4">
            <w:pPr>
              <w:jc w:val="center"/>
            </w:pPr>
            <w:r>
              <w:t>-34, -40, -46</w:t>
            </w:r>
          </w:p>
        </w:tc>
      </w:tr>
      <w:tr w:rsidR="00AB6CA2" w:rsidTr="00DC6795">
        <w:trPr>
          <w:jc w:val="center"/>
        </w:trPr>
        <w:tc>
          <w:tcPr>
            <w:tcW w:w="1728" w:type="dxa"/>
          </w:tcPr>
          <w:p w:rsidR="00AB6CA2" w:rsidRDefault="00AB6CA2" w:rsidP="002D5AA4">
            <w:pPr>
              <w:jc w:val="center"/>
            </w:pPr>
            <w:r>
              <w:t>PG 52</w:t>
            </w:r>
          </w:p>
        </w:tc>
        <w:tc>
          <w:tcPr>
            <w:tcW w:w="3744" w:type="dxa"/>
            <w:vAlign w:val="center"/>
          </w:tcPr>
          <w:p w:rsidR="00AB6CA2" w:rsidRDefault="00AB6CA2" w:rsidP="002D5AA4">
            <w:pPr>
              <w:jc w:val="center"/>
            </w:pPr>
            <w:r>
              <w:t>-10, -16, -22, -28, -34, -40, -46</w:t>
            </w:r>
          </w:p>
        </w:tc>
      </w:tr>
      <w:tr w:rsidR="00AB6CA2" w:rsidTr="00DC6795">
        <w:trPr>
          <w:jc w:val="center"/>
        </w:trPr>
        <w:tc>
          <w:tcPr>
            <w:tcW w:w="1728" w:type="dxa"/>
          </w:tcPr>
          <w:p w:rsidR="00AB6CA2" w:rsidRDefault="00AB6CA2" w:rsidP="002D5AA4">
            <w:pPr>
              <w:jc w:val="center"/>
            </w:pPr>
            <w:r>
              <w:t>PG 58</w:t>
            </w:r>
          </w:p>
        </w:tc>
        <w:tc>
          <w:tcPr>
            <w:tcW w:w="3744" w:type="dxa"/>
            <w:vAlign w:val="center"/>
          </w:tcPr>
          <w:p w:rsidR="00AB6CA2" w:rsidRDefault="00AB6CA2" w:rsidP="002D5AA4">
            <w:pPr>
              <w:jc w:val="center"/>
            </w:pPr>
            <w:r>
              <w:t>-16, -22, -28, -34, -40</w:t>
            </w:r>
          </w:p>
        </w:tc>
      </w:tr>
      <w:tr w:rsidR="00AB6CA2" w:rsidTr="00DC6795">
        <w:trPr>
          <w:jc w:val="center"/>
        </w:trPr>
        <w:tc>
          <w:tcPr>
            <w:tcW w:w="1728" w:type="dxa"/>
          </w:tcPr>
          <w:p w:rsidR="00AB6CA2" w:rsidRDefault="00AB6CA2" w:rsidP="002D5AA4">
            <w:pPr>
              <w:jc w:val="center"/>
            </w:pPr>
            <w:r>
              <w:t>PG 64</w:t>
            </w:r>
          </w:p>
        </w:tc>
        <w:tc>
          <w:tcPr>
            <w:tcW w:w="3744" w:type="dxa"/>
            <w:vAlign w:val="center"/>
          </w:tcPr>
          <w:p w:rsidR="00AB6CA2" w:rsidRDefault="00AB6CA2" w:rsidP="002D5AA4">
            <w:pPr>
              <w:jc w:val="center"/>
            </w:pPr>
            <w:r>
              <w:t>-10, -16, -22, -28, -34, -40</w:t>
            </w:r>
          </w:p>
        </w:tc>
      </w:tr>
      <w:tr w:rsidR="00AB6CA2" w:rsidTr="00DC6795">
        <w:trPr>
          <w:jc w:val="center"/>
        </w:trPr>
        <w:tc>
          <w:tcPr>
            <w:tcW w:w="1728" w:type="dxa"/>
          </w:tcPr>
          <w:p w:rsidR="00AB6CA2" w:rsidRDefault="00AB6CA2" w:rsidP="002D5AA4">
            <w:pPr>
              <w:jc w:val="center"/>
            </w:pPr>
            <w:r>
              <w:t>PG 70</w:t>
            </w:r>
          </w:p>
        </w:tc>
        <w:tc>
          <w:tcPr>
            <w:tcW w:w="3744" w:type="dxa"/>
            <w:vAlign w:val="center"/>
          </w:tcPr>
          <w:p w:rsidR="00AB6CA2" w:rsidRDefault="00AB6CA2" w:rsidP="002D5AA4">
            <w:pPr>
              <w:jc w:val="center"/>
            </w:pPr>
            <w:r>
              <w:t>-10, -16, -22, -28, -34, -40</w:t>
            </w:r>
          </w:p>
        </w:tc>
      </w:tr>
      <w:tr w:rsidR="00AB6CA2" w:rsidTr="00DC6795">
        <w:trPr>
          <w:jc w:val="center"/>
        </w:trPr>
        <w:tc>
          <w:tcPr>
            <w:tcW w:w="1728" w:type="dxa"/>
          </w:tcPr>
          <w:p w:rsidR="00AB6CA2" w:rsidRDefault="00AB6CA2" w:rsidP="002D5AA4">
            <w:pPr>
              <w:jc w:val="center"/>
            </w:pPr>
            <w:r>
              <w:t>PG 76</w:t>
            </w:r>
          </w:p>
        </w:tc>
        <w:tc>
          <w:tcPr>
            <w:tcW w:w="3744" w:type="dxa"/>
            <w:vAlign w:val="center"/>
          </w:tcPr>
          <w:p w:rsidR="00AB6CA2" w:rsidRDefault="00AB6CA2" w:rsidP="002D5AA4">
            <w:pPr>
              <w:jc w:val="center"/>
            </w:pPr>
            <w:r>
              <w:t>-10, -16, -22, -28, -34</w:t>
            </w:r>
          </w:p>
        </w:tc>
      </w:tr>
      <w:tr w:rsidR="00AB6CA2" w:rsidTr="00DC6795">
        <w:trPr>
          <w:jc w:val="center"/>
        </w:trPr>
        <w:tc>
          <w:tcPr>
            <w:tcW w:w="1728" w:type="dxa"/>
          </w:tcPr>
          <w:p w:rsidR="00AB6CA2" w:rsidRDefault="00AB6CA2" w:rsidP="002D5AA4">
            <w:pPr>
              <w:jc w:val="center"/>
            </w:pPr>
            <w:r>
              <w:t>PG 82</w:t>
            </w:r>
          </w:p>
        </w:tc>
        <w:tc>
          <w:tcPr>
            <w:tcW w:w="3744" w:type="dxa"/>
            <w:vAlign w:val="center"/>
          </w:tcPr>
          <w:p w:rsidR="00AB6CA2" w:rsidRDefault="00AB6CA2" w:rsidP="002D5AA4">
            <w:pPr>
              <w:jc w:val="center"/>
            </w:pPr>
            <w:r>
              <w:t>-10, -16, -22, -28, -34</w:t>
            </w:r>
          </w:p>
        </w:tc>
      </w:tr>
    </w:tbl>
    <w:p w:rsidR="00AB6CA2" w:rsidRPr="00BA7F89" w:rsidRDefault="00AB6CA2" w:rsidP="006F331D"/>
    <w:p w:rsidR="00AB6CA2" w:rsidRDefault="00AB6CA2" w:rsidP="006F331D">
      <w:r>
        <w:t>The final input that can influence binder grade selection is the amount and type of traffic using the facility.  It is common to increase the high temperature grade of the binder by one grade for slow transient truck traffic and two grades if the truck traffic is stationary.  Slow moving or stationary traffic can occur near intersections, toll booths, and bus stops.  It must be recognized that although arbitrarily bumping the high temperature grade will provide an extra level of reliability, it can also lead to a significant increase in cost, especially if the binder ultimately specified requires polymer-modification.</w:t>
      </w:r>
    </w:p>
    <w:p w:rsidR="00AB6CA2" w:rsidRDefault="00AB6CA2" w:rsidP="006F331D"/>
    <w:p w:rsidR="00AB6CA2" w:rsidRDefault="00AB6CA2" w:rsidP="006F331D">
      <w:pPr>
        <w:pStyle w:val="Heading4"/>
      </w:pPr>
      <w:bookmarkStart w:id="68" w:name="_Toc295918619"/>
      <w:r>
        <w:t>E</w:t>
      </w:r>
      <w:r w:rsidRPr="00127EE6">
        <w:t xml:space="preserve">mulsified </w:t>
      </w:r>
      <w:r w:rsidR="00E06139">
        <w:t>A</w:t>
      </w:r>
      <w:r w:rsidRPr="00127EE6">
        <w:t>sphalt</w:t>
      </w:r>
      <w:bookmarkEnd w:id="68"/>
    </w:p>
    <w:p w:rsidR="00AB6CA2" w:rsidRDefault="00AB6CA2" w:rsidP="006F331D">
      <w:r>
        <w:t>To overcome the need for heating, asphalt cement can be blended with water and emulsifying agents in special mills to produce an emulsion of finely divided asphalt particles suspended in water.  These emulsions are often used for seal coats, surface treatments, and in cold-mix asphalt mixture applications</w:t>
      </w:r>
      <w:r w:rsidR="00F53B64" w:rsidRPr="00F53B64">
        <w:rPr>
          <w:color w:val="FF0000"/>
        </w:rPr>
        <w:t>, and may include polymer additives</w:t>
      </w:r>
      <w:r w:rsidRPr="00F53B64">
        <w:rPr>
          <w:color w:val="FF0000"/>
        </w:rPr>
        <w:t>.</w:t>
      </w:r>
      <w:r>
        <w:t xml:space="preserve">  Asphalt emulsions are specified under AASHTO M 140, </w:t>
      </w:r>
      <w:r>
        <w:rPr>
          <w:i/>
        </w:rPr>
        <w:t>Standard Specification for Emulsified Asphalt</w:t>
      </w:r>
      <w:r>
        <w:t>.  There are basically four criteria by which asphalt emulsions are specified:</w:t>
      </w:r>
    </w:p>
    <w:p w:rsidR="00AB6CA2" w:rsidRDefault="00AB6CA2" w:rsidP="006F331D"/>
    <w:p w:rsidR="00AB6CA2" w:rsidRDefault="00AB6CA2" w:rsidP="005B140A">
      <w:pPr>
        <w:pStyle w:val="ListParagraph"/>
        <w:numPr>
          <w:ilvl w:val="0"/>
          <w:numId w:val="6"/>
        </w:numPr>
        <w:adjustRightInd w:val="0"/>
        <w:ind w:left="720"/>
        <w:rPr>
          <w:spacing w:val="-2"/>
        </w:rPr>
      </w:pPr>
      <w:r w:rsidRPr="00641DC7">
        <w:rPr>
          <w:spacing w:val="-2"/>
        </w:rPr>
        <w:t>Electrical charge of emulsifying agent – Emulsions are specified as being either positively charged (cationic) or negatively charged (anionic) depending on the surface charge of the aggregate.  As opposites attract, the emulsion charge should be opposite of the aggregates to facilitat</w:t>
      </w:r>
      <w:r w:rsidR="008D3A4C">
        <w:rPr>
          <w:spacing w:val="-2"/>
        </w:rPr>
        <w:t>e</w:t>
      </w:r>
      <w:r w:rsidRPr="00641DC7">
        <w:rPr>
          <w:spacing w:val="-2"/>
        </w:rPr>
        <w:t xml:space="preserve"> bonding.</w:t>
      </w:r>
      <w:r>
        <w:rPr>
          <w:spacing w:val="-2"/>
        </w:rPr>
        <w:t xml:space="preserve">  Cationic emulsions are designated with a “C” as the first letter when naming an emulsion. </w:t>
      </w:r>
    </w:p>
    <w:p w:rsidR="00AB6CA2" w:rsidRDefault="00AB6CA2" w:rsidP="005B140A">
      <w:pPr>
        <w:pStyle w:val="ListParagraph"/>
        <w:numPr>
          <w:ilvl w:val="0"/>
          <w:numId w:val="6"/>
        </w:numPr>
        <w:adjustRightInd w:val="0"/>
        <w:ind w:left="720"/>
        <w:rPr>
          <w:spacing w:val="-2"/>
        </w:rPr>
      </w:pPr>
      <w:r>
        <w:rPr>
          <w:spacing w:val="-2"/>
        </w:rPr>
        <w:t>Rate that emulsion breaks (sets) – Emulsions are designed to be rapid-setting (within 5 to 10 minutes), medium-setting (several hours), and slow-setting (within a few months), with the choice based on application.</w:t>
      </w:r>
    </w:p>
    <w:p w:rsidR="00AB6CA2" w:rsidRDefault="00AB6CA2" w:rsidP="005B140A">
      <w:pPr>
        <w:pStyle w:val="ListParagraph"/>
        <w:numPr>
          <w:ilvl w:val="0"/>
          <w:numId w:val="6"/>
        </w:numPr>
        <w:adjustRightInd w:val="0"/>
        <w:ind w:left="720"/>
        <w:rPr>
          <w:spacing w:val="-2"/>
        </w:rPr>
      </w:pPr>
      <w:r>
        <w:rPr>
          <w:spacing w:val="-2"/>
        </w:rPr>
        <w:t>Viscosity of the emulsion – The flow of the emulsion is assessed using viscosity at 77</w:t>
      </w:r>
      <w:r w:rsidR="002D5AA4">
        <w:rPr>
          <w:spacing w:val="-2"/>
          <w:vertAlign w:val="superscript"/>
        </w:rPr>
        <w:t>°</w:t>
      </w:r>
      <w:r w:rsidR="002D5AA4">
        <w:rPr>
          <w:spacing w:val="-2"/>
        </w:rPr>
        <w:t xml:space="preserve">F </w:t>
      </w:r>
      <w:r>
        <w:rPr>
          <w:spacing w:val="-2"/>
        </w:rPr>
        <w:t>or 122</w:t>
      </w:r>
      <w:r w:rsidR="002D5AA4">
        <w:rPr>
          <w:spacing w:val="-2"/>
        </w:rPr>
        <w:t>°</w:t>
      </w:r>
      <w:r>
        <w:rPr>
          <w:spacing w:val="-2"/>
        </w:rPr>
        <w:t xml:space="preserve">F in accordance with AASHTO T 72, </w:t>
      </w:r>
      <w:r>
        <w:rPr>
          <w:i/>
          <w:spacing w:val="-2"/>
        </w:rPr>
        <w:t>Standard Method of Test for Saybolt Viscosity</w:t>
      </w:r>
      <w:r>
        <w:rPr>
          <w:spacing w:val="-2"/>
        </w:rPr>
        <w:t>.</w:t>
      </w:r>
    </w:p>
    <w:p w:rsidR="00AB6CA2" w:rsidRDefault="00AB6CA2" w:rsidP="005B140A">
      <w:pPr>
        <w:pStyle w:val="ListParagraph"/>
        <w:numPr>
          <w:ilvl w:val="0"/>
          <w:numId w:val="6"/>
        </w:numPr>
        <w:adjustRightInd w:val="0"/>
        <w:ind w:left="720"/>
        <w:rPr>
          <w:spacing w:val="-2"/>
        </w:rPr>
      </w:pPr>
      <w:r>
        <w:rPr>
          <w:spacing w:val="-2"/>
        </w:rPr>
        <w:t xml:space="preserve">Hardness of the asphalt cement – The hardness of the asphalt cement is measured using AASHTO T 49, </w:t>
      </w:r>
      <w:r>
        <w:rPr>
          <w:i/>
          <w:spacing w:val="-2"/>
        </w:rPr>
        <w:t>Standard Method of Test for Penetration of Bituminous Materials</w:t>
      </w:r>
      <w:r>
        <w:rPr>
          <w:spacing w:val="-2"/>
        </w:rPr>
        <w:t xml:space="preserve"> which is conducted at 77</w:t>
      </w:r>
      <w:r w:rsidR="002D5AA4">
        <w:rPr>
          <w:spacing w:val="-2"/>
          <w:vertAlign w:val="superscript"/>
        </w:rPr>
        <w:t>°</w:t>
      </w:r>
      <w:r>
        <w:rPr>
          <w:spacing w:val="-2"/>
        </w:rPr>
        <w:t xml:space="preserve">F.  The higher the penetration, the softer the binder, as it is a measure of how far a weighted needle penetrates into the binder in 5 seconds. </w:t>
      </w:r>
    </w:p>
    <w:p w:rsidR="00AB6CA2" w:rsidRDefault="00AB6CA2" w:rsidP="00AB6CA2">
      <w:pPr>
        <w:adjustRightInd w:val="0"/>
        <w:rPr>
          <w:spacing w:val="-2"/>
        </w:rPr>
      </w:pPr>
    </w:p>
    <w:p w:rsidR="009C51F9" w:rsidRPr="009C51F9" w:rsidRDefault="009C51F9" w:rsidP="00AB6CA2">
      <w:pPr>
        <w:adjustRightInd w:val="0"/>
        <w:rPr>
          <w:color w:val="FF0000"/>
          <w:spacing w:val="-2"/>
        </w:rPr>
      </w:pPr>
      <w:r w:rsidRPr="009C51F9">
        <w:rPr>
          <w:color w:val="FF0000"/>
          <w:spacing w:val="-2"/>
        </w:rPr>
        <w:t xml:space="preserve">Additional testing beyond the Saybolt-Viscosity and the Penetration test are </w:t>
      </w:r>
      <w:r w:rsidR="00277456">
        <w:rPr>
          <w:color w:val="FF0000"/>
          <w:spacing w:val="-2"/>
        </w:rPr>
        <w:t xml:space="preserve">also </w:t>
      </w:r>
      <w:r w:rsidRPr="009C51F9">
        <w:rPr>
          <w:color w:val="FF0000"/>
          <w:spacing w:val="-2"/>
        </w:rPr>
        <w:t>important in selecting an emulsion.</w:t>
      </w:r>
    </w:p>
    <w:p w:rsidR="009C51F9" w:rsidRDefault="009C51F9" w:rsidP="00AB6CA2">
      <w:pPr>
        <w:adjustRightInd w:val="0"/>
        <w:rPr>
          <w:spacing w:val="-2"/>
        </w:rPr>
      </w:pPr>
    </w:p>
    <w:p w:rsidR="000413D4" w:rsidRPr="009C51F9" w:rsidRDefault="00AB6CA2" w:rsidP="006F331D">
      <w:pPr>
        <w:rPr>
          <w:color w:val="FF0000"/>
        </w:rPr>
      </w:pPr>
      <w:r>
        <w:t xml:space="preserve">High float residue emulsions and quick-set emulsions are also produced.  Specifications for emulsions, as summarized in </w:t>
      </w:r>
      <w:r w:rsidR="00F3038B">
        <w:rPr>
          <w:color w:val="000000" w:themeColor="text1"/>
        </w:rPr>
        <w:t>Table</w:t>
      </w:r>
      <w:r w:rsidR="00A806A8">
        <w:rPr>
          <w:color w:val="000000" w:themeColor="text1"/>
        </w:rPr>
        <w:t xml:space="preserve"> 3-8,</w:t>
      </w:r>
      <w:r>
        <w:t xml:space="preserve"> are provided in AASHTO M 140.</w:t>
      </w:r>
      <w:r w:rsidR="009C51F9">
        <w:t xml:space="preserve">  </w:t>
      </w:r>
      <w:r w:rsidR="009C51F9" w:rsidRPr="009C51F9">
        <w:rPr>
          <w:color w:val="FF0000"/>
        </w:rPr>
        <w:t>See also AASHTO M 208 and M 316.</w:t>
      </w:r>
    </w:p>
    <w:p w:rsidR="00AB6CA2" w:rsidRPr="004E4217" w:rsidRDefault="002D5AA4" w:rsidP="002D5AA4">
      <w:pPr>
        <w:pStyle w:val="Heading9"/>
        <w:rPr>
          <w:spacing w:val="-2"/>
        </w:rPr>
      </w:pPr>
      <w:bookmarkStart w:id="69" w:name="_Toc295918116"/>
      <w:r>
        <w:t>Table</w:t>
      </w:r>
      <w:r w:rsidR="00F3038B">
        <w:t xml:space="preserve"> </w:t>
      </w:r>
      <w:bookmarkStart w:id="70" w:name="t9"/>
      <w:r w:rsidR="00F3038B">
        <w:rPr>
          <w:color w:val="000000" w:themeColor="text1"/>
        </w:rPr>
        <w:t>3-</w:t>
      </w:r>
      <w:bookmarkEnd w:id="70"/>
      <w:r w:rsidR="00CC4DEE">
        <w:rPr>
          <w:color w:val="000000" w:themeColor="text1"/>
        </w:rPr>
        <w:t>8</w:t>
      </w:r>
      <w:r>
        <w:t xml:space="preserve">.  </w:t>
      </w:r>
      <w:r w:rsidR="00AB6CA2">
        <w:rPr>
          <w:spacing w:val="-2"/>
        </w:rPr>
        <w:t>Grades of asphalt emulsions.</w:t>
      </w:r>
      <w:bookmarkEnd w:id="69"/>
    </w:p>
    <w:tbl>
      <w:tblPr>
        <w:tblStyle w:val="TableGrid"/>
        <w:tblW w:w="0" w:type="auto"/>
        <w:jc w:val="center"/>
        <w:tblInd w:w="720" w:type="dxa"/>
        <w:tblBorders>
          <w:top w:val="double" w:sz="4" w:space="0" w:color="auto"/>
          <w:left w:val="double" w:sz="4" w:space="0" w:color="auto"/>
          <w:bottom w:val="double" w:sz="4" w:space="0" w:color="auto"/>
          <w:right w:val="double" w:sz="4" w:space="0" w:color="auto"/>
          <w:insideH w:val="single" w:sz="4" w:space="0" w:color="000000" w:themeColor="text1"/>
          <w:insideV w:val="single" w:sz="4" w:space="0" w:color="000000" w:themeColor="text1"/>
        </w:tblBorders>
        <w:tblLook w:val="04A0" w:firstRow="1" w:lastRow="0" w:firstColumn="1" w:lastColumn="0" w:noHBand="0" w:noVBand="1"/>
      </w:tblPr>
      <w:tblGrid>
        <w:gridCol w:w="1440"/>
        <w:gridCol w:w="1440"/>
        <w:gridCol w:w="1440"/>
        <w:gridCol w:w="1440"/>
        <w:gridCol w:w="1440"/>
      </w:tblGrid>
      <w:tr w:rsidR="00AB6CA2" w:rsidRPr="002D5AA4" w:rsidTr="00167928">
        <w:trPr>
          <w:jc w:val="center"/>
        </w:trPr>
        <w:tc>
          <w:tcPr>
            <w:tcW w:w="1440" w:type="dxa"/>
            <w:tcBorders>
              <w:top w:val="double" w:sz="4" w:space="0" w:color="auto"/>
              <w:bottom w:val="double" w:sz="4" w:space="0" w:color="auto"/>
            </w:tcBorders>
            <w:vAlign w:val="center"/>
          </w:tcPr>
          <w:p w:rsidR="00AB6CA2" w:rsidRPr="00321790" w:rsidRDefault="00AB6CA2" w:rsidP="002D5AA4">
            <w:pPr>
              <w:jc w:val="center"/>
              <w:rPr>
                <w:b/>
                <w:color w:val="000000" w:themeColor="text1"/>
              </w:rPr>
            </w:pPr>
            <w:r w:rsidRPr="00321790">
              <w:rPr>
                <w:b/>
                <w:color w:val="000000" w:themeColor="text1"/>
              </w:rPr>
              <w:t>Charge</w:t>
            </w:r>
          </w:p>
        </w:tc>
        <w:tc>
          <w:tcPr>
            <w:tcW w:w="1440" w:type="dxa"/>
            <w:tcBorders>
              <w:top w:val="double" w:sz="4" w:space="0" w:color="auto"/>
              <w:bottom w:val="double" w:sz="4" w:space="0" w:color="auto"/>
            </w:tcBorders>
            <w:vAlign w:val="center"/>
          </w:tcPr>
          <w:p w:rsidR="00AB6CA2" w:rsidRPr="00321790" w:rsidRDefault="00AB6CA2" w:rsidP="002D5AA4">
            <w:pPr>
              <w:jc w:val="center"/>
              <w:rPr>
                <w:b/>
                <w:color w:val="000000" w:themeColor="text1"/>
              </w:rPr>
            </w:pPr>
            <w:r w:rsidRPr="00321790">
              <w:rPr>
                <w:b/>
                <w:color w:val="000000" w:themeColor="text1"/>
              </w:rPr>
              <w:t>Grade</w:t>
            </w:r>
          </w:p>
        </w:tc>
        <w:tc>
          <w:tcPr>
            <w:tcW w:w="1440" w:type="dxa"/>
            <w:tcBorders>
              <w:top w:val="double" w:sz="4" w:space="0" w:color="auto"/>
              <w:bottom w:val="double" w:sz="4" w:space="0" w:color="auto"/>
            </w:tcBorders>
            <w:vAlign w:val="center"/>
          </w:tcPr>
          <w:p w:rsidR="00AB6CA2" w:rsidRPr="00321790" w:rsidRDefault="00AB6CA2" w:rsidP="00167928">
            <w:pPr>
              <w:jc w:val="center"/>
              <w:rPr>
                <w:b/>
                <w:color w:val="000000" w:themeColor="text1"/>
              </w:rPr>
            </w:pPr>
            <w:r w:rsidRPr="00321790">
              <w:rPr>
                <w:b/>
                <w:color w:val="000000" w:themeColor="text1"/>
              </w:rPr>
              <w:t>Setting</w:t>
            </w:r>
            <w:r w:rsidR="00167928" w:rsidRPr="00321790">
              <w:rPr>
                <w:b/>
                <w:color w:val="000000" w:themeColor="text1"/>
              </w:rPr>
              <w:br/>
            </w:r>
            <w:r w:rsidRPr="00321790">
              <w:rPr>
                <w:b/>
                <w:color w:val="000000" w:themeColor="text1"/>
              </w:rPr>
              <w:t>Speed</w:t>
            </w:r>
          </w:p>
        </w:tc>
        <w:tc>
          <w:tcPr>
            <w:tcW w:w="1440" w:type="dxa"/>
            <w:tcBorders>
              <w:top w:val="double" w:sz="4" w:space="0" w:color="auto"/>
              <w:bottom w:val="double" w:sz="4" w:space="0" w:color="auto"/>
            </w:tcBorders>
            <w:vAlign w:val="center"/>
          </w:tcPr>
          <w:p w:rsidR="00AB6CA2" w:rsidRPr="00321790" w:rsidRDefault="00AB6CA2" w:rsidP="002D5AA4">
            <w:pPr>
              <w:jc w:val="center"/>
              <w:rPr>
                <w:b/>
                <w:color w:val="000000" w:themeColor="text1"/>
              </w:rPr>
            </w:pPr>
            <w:r w:rsidRPr="00321790">
              <w:rPr>
                <w:b/>
                <w:color w:val="000000" w:themeColor="text1"/>
              </w:rPr>
              <w:t>Viscosity</w:t>
            </w:r>
          </w:p>
          <w:p w:rsidR="003A177A" w:rsidRPr="00321790" w:rsidRDefault="00AB6CA2" w:rsidP="008A676B">
            <w:pPr>
              <w:jc w:val="center"/>
              <w:rPr>
                <w:b/>
                <w:color w:val="000000" w:themeColor="text1"/>
              </w:rPr>
            </w:pPr>
            <w:r w:rsidRPr="00321790">
              <w:rPr>
                <w:b/>
                <w:color w:val="000000" w:themeColor="text1"/>
              </w:rPr>
              <w:t>(@ 25</w:t>
            </w:r>
            <w:r w:rsidR="002D5AA4" w:rsidRPr="00321790">
              <w:rPr>
                <w:b/>
                <w:color w:val="000000" w:themeColor="text1"/>
                <w:vertAlign w:val="superscript"/>
              </w:rPr>
              <w:t>°</w:t>
            </w:r>
            <w:r w:rsidRPr="00321790">
              <w:rPr>
                <w:b/>
                <w:color w:val="000000" w:themeColor="text1"/>
              </w:rPr>
              <w:t>C)</w:t>
            </w:r>
          </w:p>
          <w:p w:rsidR="008A676B" w:rsidRPr="00321790" w:rsidRDefault="008A676B" w:rsidP="008A676B">
            <w:pPr>
              <w:jc w:val="center"/>
              <w:rPr>
                <w:b/>
                <w:color w:val="000000" w:themeColor="text1"/>
              </w:rPr>
            </w:pPr>
            <w:r w:rsidRPr="00321790">
              <w:rPr>
                <w:b/>
                <w:color w:val="000000" w:themeColor="text1"/>
              </w:rPr>
              <w:t>(seconds)</w:t>
            </w:r>
          </w:p>
        </w:tc>
        <w:tc>
          <w:tcPr>
            <w:tcW w:w="1440" w:type="dxa"/>
            <w:tcBorders>
              <w:top w:val="double" w:sz="4" w:space="0" w:color="auto"/>
              <w:bottom w:val="double" w:sz="4" w:space="0" w:color="auto"/>
            </w:tcBorders>
            <w:vAlign w:val="center"/>
          </w:tcPr>
          <w:p w:rsidR="00AB6CA2" w:rsidRPr="00321790" w:rsidRDefault="00AB6CA2" w:rsidP="002D5AA4">
            <w:pPr>
              <w:jc w:val="center"/>
              <w:rPr>
                <w:b/>
                <w:color w:val="000000" w:themeColor="text1"/>
              </w:rPr>
            </w:pPr>
            <w:r w:rsidRPr="00321790">
              <w:rPr>
                <w:b/>
                <w:color w:val="000000" w:themeColor="text1"/>
              </w:rPr>
              <w:t>Penetration</w:t>
            </w:r>
          </w:p>
          <w:p w:rsidR="003A177A" w:rsidRPr="00321790" w:rsidRDefault="008A676B" w:rsidP="00321790">
            <w:pPr>
              <w:jc w:val="center"/>
              <w:rPr>
                <w:b/>
                <w:color w:val="000000" w:themeColor="text1"/>
              </w:rPr>
            </w:pPr>
            <w:r w:rsidRPr="00321790">
              <w:rPr>
                <w:b/>
                <w:color w:val="000000" w:themeColor="text1"/>
              </w:rPr>
              <w:t>(</w:t>
            </w:r>
            <w:r w:rsidR="00321790" w:rsidRPr="00321790">
              <w:rPr>
                <w:b/>
                <w:color w:val="000000" w:themeColor="text1"/>
              </w:rPr>
              <w:t>1/100 c</w:t>
            </w:r>
            <w:r w:rsidRPr="00321790">
              <w:rPr>
                <w:b/>
                <w:color w:val="000000" w:themeColor="text1"/>
              </w:rPr>
              <w:t>m)</w:t>
            </w:r>
          </w:p>
        </w:tc>
      </w:tr>
      <w:tr w:rsidR="00AB6CA2" w:rsidTr="00167928">
        <w:trPr>
          <w:jc w:val="center"/>
        </w:trPr>
        <w:tc>
          <w:tcPr>
            <w:tcW w:w="1440" w:type="dxa"/>
            <w:vMerge w:val="restart"/>
            <w:tcBorders>
              <w:top w:val="double" w:sz="4" w:space="0" w:color="auto"/>
            </w:tcBorders>
            <w:vAlign w:val="center"/>
          </w:tcPr>
          <w:p w:rsidR="00AB6CA2" w:rsidRDefault="00AB6CA2" w:rsidP="002D5AA4">
            <w:pPr>
              <w:jc w:val="center"/>
            </w:pPr>
            <w:r>
              <w:t>Anionic</w:t>
            </w:r>
          </w:p>
        </w:tc>
        <w:tc>
          <w:tcPr>
            <w:tcW w:w="1440" w:type="dxa"/>
            <w:tcBorders>
              <w:top w:val="double" w:sz="4" w:space="0" w:color="auto"/>
            </w:tcBorders>
          </w:tcPr>
          <w:p w:rsidR="00AB6CA2" w:rsidRDefault="00AB6CA2" w:rsidP="002D5AA4">
            <w:pPr>
              <w:jc w:val="center"/>
            </w:pPr>
            <w:r>
              <w:t>RS-1</w:t>
            </w:r>
          </w:p>
        </w:tc>
        <w:tc>
          <w:tcPr>
            <w:tcW w:w="1440" w:type="dxa"/>
            <w:tcBorders>
              <w:top w:val="double" w:sz="4" w:space="0" w:color="auto"/>
            </w:tcBorders>
          </w:tcPr>
          <w:p w:rsidR="00AB6CA2" w:rsidRDefault="00AB6CA2" w:rsidP="002D5AA4">
            <w:pPr>
              <w:jc w:val="center"/>
            </w:pPr>
            <w:r>
              <w:t>Rapid</w:t>
            </w:r>
          </w:p>
        </w:tc>
        <w:tc>
          <w:tcPr>
            <w:tcW w:w="1440" w:type="dxa"/>
            <w:tcBorders>
              <w:top w:val="double" w:sz="4" w:space="0" w:color="auto"/>
            </w:tcBorders>
          </w:tcPr>
          <w:p w:rsidR="00AB6CA2" w:rsidRDefault="00AB6CA2" w:rsidP="002D5AA4">
            <w:pPr>
              <w:jc w:val="center"/>
            </w:pPr>
            <w:r>
              <w:t>20-100</w:t>
            </w:r>
          </w:p>
        </w:tc>
        <w:tc>
          <w:tcPr>
            <w:tcW w:w="1440" w:type="dxa"/>
            <w:tcBorders>
              <w:top w:val="double" w:sz="4" w:space="0" w:color="auto"/>
            </w:tcBorders>
          </w:tcPr>
          <w:p w:rsidR="00AB6CA2" w:rsidRDefault="00AB6CA2" w:rsidP="002D5AA4">
            <w:pPr>
              <w:jc w:val="center"/>
            </w:pPr>
            <w:r>
              <w:t>100-200</w:t>
            </w:r>
          </w:p>
        </w:tc>
      </w:tr>
      <w:tr w:rsidR="00AB6CA2" w:rsidTr="00167928">
        <w:trPr>
          <w:jc w:val="center"/>
        </w:trPr>
        <w:tc>
          <w:tcPr>
            <w:tcW w:w="1440" w:type="dxa"/>
            <w:vMerge/>
            <w:vAlign w:val="center"/>
          </w:tcPr>
          <w:p w:rsidR="00AB6CA2" w:rsidRDefault="00AB6CA2" w:rsidP="002D5AA4">
            <w:pPr>
              <w:jc w:val="center"/>
            </w:pPr>
          </w:p>
        </w:tc>
        <w:tc>
          <w:tcPr>
            <w:tcW w:w="1440" w:type="dxa"/>
          </w:tcPr>
          <w:p w:rsidR="00AB6CA2" w:rsidRDefault="00AB6CA2" w:rsidP="002D5AA4">
            <w:pPr>
              <w:jc w:val="center"/>
            </w:pPr>
            <w:r>
              <w:t>RS-2</w:t>
            </w:r>
          </w:p>
        </w:tc>
        <w:tc>
          <w:tcPr>
            <w:tcW w:w="1440" w:type="dxa"/>
          </w:tcPr>
          <w:p w:rsidR="00AB6CA2" w:rsidRDefault="00AB6CA2" w:rsidP="002D5AA4">
            <w:pPr>
              <w:jc w:val="center"/>
            </w:pPr>
            <w:r>
              <w:t>Rapid</w:t>
            </w:r>
          </w:p>
        </w:tc>
        <w:tc>
          <w:tcPr>
            <w:tcW w:w="1440" w:type="dxa"/>
          </w:tcPr>
          <w:p w:rsidR="00AB6CA2" w:rsidRPr="009519E1" w:rsidRDefault="00AB6CA2" w:rsidP="002D5AA4">
            <w:pPr>
              <w:jc w:val="center"/>
              <w:rPr>
                <w:vertAlign w:val="superscript"/>
              </w:rPr>
            </w:pPr>
            <w:r>
              <w:t>75-400</w:t>
            </w:r>
            <w:r>
              <w:rPr>
                <w:vertAlign w:val="superscript"/>
              </w:rPr>
              <w:t>*</w:t>
            </w:r>
          </w:p>
        </w:tc>
        <w:tc>
          <w:tcPr>
            <w:tcW w:w="1440" w:type="dxa"/>
          </w:tcPr>
          <w:p w:rsidR="00AB6CA2" w:rsidRPr="0091659C" w:rsidRDefault="00AB6CA2" w:rsidP="002D5AA4">
            <w:pPr>
              <w:jc w:val="center"/>
            </w:pPr>
            <w:r w:rsidRPr="0091659C">
              <w:t>100</w:t>
            </w:r>
            <w:r>
              <w:t>-200</w:t>
            </w:r>
          </w:p>
        </w:tc>
      </w:tr>
      <w:tr w:rsidR="00AB6CA2" w:rsidTr="00167928">
        <w:trPr>
          <w:jc w:val="center"/>
        </w:trPr>
        <w:tc>
          <w:tcPr>
            <w:tcW w:w="1440" w:type="dxa"/>
            <w:vMerge/>
            <w:vAlign w:val="center"/>
          </w:tcPr>
          <w:p w:rsidR="00AB6CA2" w:rsidRDefault="00AB6CA2" w:rsidP="002D5AA4">
            <w:pPr>
              <w:jc w:val="center"/>
            </w:pPr>
          </w:p>
        </w:tc>
        <w:tc>
          <w:tcPr>
            <w:tcW w:w="1440" w:type="dxa"/>
          </w:tcPr>
          <w:p w:rsidR="00AB6CA2" w:rsidRDefault="00AB6CA2" w:rsidP="002D5AA4">
            <w:pPr>
              <w:jc w:val="center"/>
            </w:pPr>
            <w:r>
              <w:t>MS-1</w:t>
            </w:r>
          </w:p>
        </w:tc>
        <w:tc>
          <w:tcPr>
            <w:tcW w:w="1440" w:type="dxa"/>
          </w:tcPr>
          <w:p w:rsidR="00AB6CA2" w:rsidRDefault="00AB6CA2" w:rsidP="002D5AA4">
            <w:pPr>
              <w:jc w:val="center"/>
            </w:pPr>
            <w:r>
              <w:t>Medium</w:t>
            </w:r>
          </w:p>
        </w:tc>
        <w:tc>
          <w:tcPr>
            <w:tcW w:w="1440" w:type="dxa"/>
          </w:tcPr>
          <w:p w:rsidR="00AB6CA2" w:rsidRDefault="00AB6CA2" w:rsidP="002D5AA4">
            <w:pPr>
              <w:jc w:val="center"/>
            </w:pPr>
            <w:r>
              <w:t>20-100</w:t>
            </w:r>
          </w:p>
        </w:tc>
        <w:tc>
          <w:tcPr>
            <w:tcW w:w="1440" w:type="dxa"/>
          </w:tcPr>
          <w:p w:rsidR="00AB6CA2" w:rsidRPr="0091659C" w:rsidRDefault="00AB6CA2" w:rsidP="002D5AA4">
            <w:pPr>
              <w:jc w:val="center"/>
            </w:pPr>
            <w:r w:rsidRPr="0091659C">
              <w:t>100</w:t>
            </w:r>
            <w:r>
              <w:t>-200</w:t>
            </w:r>
          </w:p>
        </w:tc>
      </w:tr>
      <w:tr w:rsidR="00AB6CA2" w:rsidTr="00167928">
        <w:trPr>
          <w:jc w:val="center"/>
        </w:trPr>
        <w:tc>
          <w:tcPr>
            <w:tcW w:w="1440" w:type="dxa"/>
            <w:vMerge/>
            <w:vAlign w:val="center"/>
          </w:tcPr>
          <w:p w:rsidR="00AB6CA2" w:rsidRDefault="00AB6CA2" w:rsidP="002D5AA4">
            <w:pPr>
              <w:jc w:val="center"/>
            </w:pPr>
          </w:p>
        </w:tc>
        <w:tc>
          <w:tcPr>
            <w:tcW w:w="1440" w:type="dxa"/>
          </w:tcPr>
          <w:p w:rsidR="00AB6CA2" w:rsidRDefault="00AB6CA2" w:rsidP="002D5AA4">
            <w:pPr>
              <w:jc w:val="center"/>
            </w:pPr>
            <w:r>
              <w:t>MS-2</w:t>
            </w:r>
          </w:p>
        </w:tc>
        <w:tc>
          <w:tcPr>
            <w:tcW w:w="1440" w:type="dxa"/>
          </w:tcPr>
          <w:p w:rsidR="00AB6CA2" w:rsidRDefault="00AB6CA2" w:rsidP="002D5AA4">
            <w:pPr>
              <w:jc w:val="center"/>
            </w:pPr>
            <w:r>
              <w:t>Medium</w:t>
            </w:r>
          </w:p>
        </w:tc>
        <w:tc>
          <w:tcPr>
            <w:tcW w:w="1440" w:type="dxa"/>
          </w:tcPr>
          <w:p w:rsidR="00AB6CA2" w:rsidRDefault="00AB6CA2" w:rsidP="002D5AA4">
            <w:pPr>
              <w:jc w:val="center"/>
            </w:pPr>
            <w:r>
              <w:t>≥100</w:t>
            </w:r>
          </w:p>
        </w:tc>
        <w:tc>
          <w:tcPr>
            <w:tcW w:w="1440" w:type="dxa"/>
          </w:tcPr>
          <w:p w:rsidR="00AB6CA2" w:rsidRPr="0091659C" w:rsidRDefault="00AB6CA2" w:rsidP="002D5AA4">
            <w:pPr>
              <w:jc w:val="center"/>
            </w:pPr>
            <w:r w:rsidRPr="0091659C">
              <w:t>100</w:t>
            </w:r>
            <w:r>
              <w:t>-200</w:t>
            </w:r>
          </w:p>
        </w:tc>
      </w:tr>
      <w:tr w:rsidR="00AB6CA2" w:rsidTr="00167928">
        <w:trPr>
          <w:jc w:val="center"/>
        </w:trPr>
        <w:tc>
          <w:tcPr>
            <w:tcW w:w="1440" w:type="dxa"/>
            <w:vMerge/>
            <w:vAlign w:val="center"/>
          </w:tcPr>
          <w:p w:rsidR="00AB6CA2" w:rsidRDefault="00AB6CA2" w:rsidP="002D5AA4">
            <w:pPr>
              <w:jc w:val="center"/>
            </w:pPr>
          </w:p>
        </w:tc>
        <w:tc>
          <w:tcPr>
            <w:tcW w:w="1440" w:type="dxa"/>
          </w:tcPr>
          <w:p w:rsidR="00AB6CA2" w:rsidRDefault="00AB6CA2" w:rsidP="002D5AA4">
            <w:pPr>
              <w:jc w:val="center"/>
            </w:pPr>
            <w:r>
              <w:t>MS-2h</w:t>
            </w:r>
          </w:p>
        </w:tc>
        <w:tc>
          <w:tcPr>
            <w:tcW w:w="1440" w:type="dxa"/>
          </w:tcPr>
          <w:p w:rsidR="00AB6CA2" w:rsidRDefault="00AB6CA2" w:rsidP="002D5AA4">
            <w:pPr>
              <w:jc w:val="center"/>
            </w:pPr>
            <w:r>
              <w:t>Medium</w:t>
            </w:r>
          </w:p>
        </w:tc>
        <w:tc>
          <w:tcPr>
            <w:tcW w:w="1440" w:type="dxa"/>
          </w:tcPr>
          <w:p w:rsidR="00AB6CA2" w:rsidRDefault="00AB6CA2" w:rsidP="002D5AA4">
            <w:pPr>
              <w:jc w:val="center"/>
            </w:pPr>
            <w:r>
              <w:t>≥100</w:t>
            </w:r>
          </w:p>
        </w:tc>
        <w:tc>
          <w:tcPr>
            <w:tcW w:w="1440" w:type="dxa"/>
          </w:tcPr>
          <w:p w:rsidR="00AB6CA2" w:rsidRDefault="00AB6CA2" w:rsidP="002D5AA4">
            <w:pPr>
              <w:jc w:val="center"/>
            </w:pPr>
            <w:r>
              <w:t>60-100</w:t>
            </w:r>
          </w:p>
        </w:tc>
      </w:tr>
      <w:tr w:rsidR="00AB6CA2" w:rsidTr="00167928">
        <w:trPr>
          <w:jc w:val="center"/>
        </w:trPr>
        <w:tc>
          <w:tcPr>
            <w:tcW w:w="1440" w:type="dxa"/>
            <w:vMerge/>
            <w:vAlign w:val="center"/>
          </w:tcPr>
          <w:p w:rsidR="00AB6CA2" w:rsidRDefault="00AB6CA2" w:rsidP="002D5AA4">
            <w:pPr>
              <w:jc w:val="center"/>
            </w:pPr>
          </w:p>
        </w:tc>
        <w:tc>
          <w:tcPr>
            <w:tcW w:w="1440" w:type="dxa"/>
          </w:tcPr>
          <w:p w:rsidR="00AB6CA2" w:rsidRDefault="00AB6CA2" w:rsidP="002D5AA4">
            <w:pPr>
              <w:jc w:val="center"/>
            </w:pPr>
            <w:r>
              <w:t>SS-1</w:t>
            </w:r>
          </w:p>
        </w:tc>
        <w:tc>
          <w:tcPr>
            <w:tcW w:w="1440" w:type="dxa"/>
          </w:tcPr>
          <w:p w:rsidR="00AB6CA2" w:rsidRDefault="00AB6CA2" w:rsidP="002D5AA4">
            <w:pPr>
              <w:jc w:val="center"/>
            </w:pPr>
            <w:r>
              <w:t>Slow</w:t>
            </w:r>
          </w:p>
        </w:tc>
        <w:tc>
          <w:tcPr>
            <w:tcW w:w="1440" w:type="dxa"/>
          </w:tcPr>
          <w:p w:rsidR="00AB6CA2" w:rsidRDefault="00AB6CA2" w:rsidP="002D5AA4">
            <w:pPr>
              <w:jc w:val="center"/>
            </w:pPr>
            <w:r>
              <w:t>20-100</w:t>
            </w:r>
          </w:p>
        </w:tc>
        <w:tc>
          <w:tcPr>
            <w:tcW w:w="1440" w:type="dxa"/>
          </w:tcPr>
          <w:p w:rsidR="00AB6CA2" w:rsidRDefault="00AB6CA2" w:rsidP="002D5AA4">
            <w:pPr>
              <w:jc w:val="center"/>
            </w:pPr>
            <w:r w:rsidRPr="0091659C">
              <w:t>100</w:t>
            </w:r>
            <w:r>
              <w:t>-200</w:t>
            </w:r>
          </w:p>
        </w:tc>
      </w:tr>
      <w:tr w:rsidR="00AB6CA2" w:rsidTr="00167928">
        <w:trPr>
          <w:jc w:val="center"/>
        </w:trPr>
        <w:tc>
          <w:tcPr>
            <w:tcW w:w="1440" w:type="dxa"/>
            <w:vMerge/>
            <w:vAlign w:val="center"/>
          </w:tcPr>
          <w:p w:rsidR="00AB6CA2" w:rsidRDefault="00AB6CA2" w:rsidP="002D5AA4">
            <w:pPr>
              <w:jc w:val="center"/>
            </w:pPr>
          </w:p>
        </w:tc>
        <w:tc>
          <w:tcPr>
            <w:tcW w:w="1440" w:type="dxa"/>
          </w:tcPr>
          <w:p w:rsidR="00AB6CA2" w:rsidRDefault="00AB6CA2" w:rsidP="002D5AA4">
            <w:pPr>
              <w:jc w:val="center"/>
            </w:pPr>
            <w:r>
              <w:t>SS-1h</w:t>
            </w:r>
          </w:p>
        </w:tc>
        <w:tc>
          <w:tcPr>
            <w:tcW w:w="1440" w:type="dxa"/>
          </w:tcPr>
          <w:p w:rsidR="00AB6CA2" w:rsidRDefault="00AB6CA2" w:rsidP="002D5AA4">
            <w:pPr>
              <w:jc w:val="center"/>
            </w:pPr>
            <w:r>
              <w:t>Slow</w:t>
            </w:r>
          </w:p>
        </w:tc>
        <w:tc>
          <w:tcPr>
            <w:tcW w:w="1440" w:type="dxa"/>
          </w:tcPr>
          <w:p w:rsidR="00AB6CA2" w:rsidRDefault="00AB6CA2" w:rsidP="002D5AA4">
            <w:pPr>
              <w:jc w:val="center"/>
            </w:pPr>
            <w:r>
              <w:t>20-100</w:t>
            </w:r>
          </w:p>
        </w:tc>
        <w:tc>
          <w:tcPr>
            <w:tcW w:w="1440" w:type="dxa"/>
          </w:tcPr>
          <w:p w:rsidR="00AB6CA2" w:rsidRDefault="00AB6CA2" w:rsidP="002D5AA4">
            <w:pPr>
              <w:jc w:val="center"/>
            </w:pPr>
            <w:r>
              <w:t>60-100</w:t>
            </w:r>
          </w:p>
        </w:tc>
      </w:tr>
      <w:tr w:rsidR="00AB6CA2" w:rsidTr="00167928">
        <w:trPr>
          <w:jc w:val="center"/>
        </w:trPr>
        <w:tc>
          <w:tcPr>
            <w:tcW w:w="1440" w:type="dxa"/>
            <w:vMerge w:val="restart"/>
            <w:vAlign w:val="center"/>
          </w:tcPr>
          <w:p w:rsidR="00AB6CA2" w:rsidRDefault="00AB6CA2" w:rsidP="002D5AA4">
            <w:pPr>
              <w:jc w:val="center"/>
            </w:pPr>
            <w:r>
              <w:t>Cationic</w:t>
            </w:r>
          </w:p>
        </w:tc>
        <w:tc>
          <w:tcPr>
            <w:tcW w:w="1440" w:type="dxa"/>
          </w:tcPr>
          <w:p w:rsidR="00AB6CA2" w:rsidRDefault="00AB6CA2" w:rsidP="002D5AA4">
            <w:pPr>
              <w:jc w:val="center"/>
            </w:pPr>
            <w:r>
              <w:t>CRS-1</w:t>
            </w:r>
          </w:p>
        </w:tc>
        <w:tc>
          <w:tcPr>
            <w:tcW w:w="1440" w:type="dxa"/>
          </w:tcPr>
          <w:p w:rsidR="00AB6CA2" w:rsidRDefault="00AB6CA2" w:rsidP="002D5AA4">
            <w:pPr>
              <w:jc w:val="center"/>
            </w:pPr>
            <w:r>
              <w:t>Rapid</w:t>
            </w:r>
          </w:p>
        </w:tc>
        <w:tc>
          <w:tcPr>
            <w:tcW w:w="1440" w:type="dxa"/>
          </w:tcPr>
          <w:p w:rsidR="00AB6CA2" w:rsidRDefault="00AB6CA2" w:rsidP="002D5AA4">
            <w:pPr>
              <w:jc w:val="center"/>
            </w:pPr>
            <w:r>
              <w:t>20-100</w:t>
            </w:r>
          </w:p>
        </w:tc>
        <w:tc>
          <w:tcPr>
            <w:tcW w:w="1440" w:type="dxa"/>
          </w:tcPr>
          <w:p w:rsidR="00AB6CA2" w:rsidRDefault="00AB6CA2" w:rsidP="002D5AA4">
            <w:pPr>
              <w:jc w:val="center"/>
            </w:pPr>
            <w:r>
              <w:t>100-250</w:t>
            </w:r>
          </w:p>
        </w:tc>
      </w:tr>
      <w:tr w:rsidR="00AB6CA2" w:rsidTr="00167928">
        <w:trPr>
          <w:jc w:val="center"/>
        </w:trPr>
        <w:tc>
          <w:tcPr>
            <w:tcW w:w="1440" w:type="dxa"/>
            <w:vMerge/>
          </w:tcPr>
          <w:p w:rsidR="00AB6CA2" w:rsidRDefault="00AB6CA2" w:rsidP="002D5AA4"/>
        </w:tc>
        <w:tc>
          <w:tcPr>
            <w:tcW w:w="1440" w:type="dxa"/>
          </w:tcPr>
          <w:p w:rsidR="00AB6CA2" w:rsidRDefault="00AB6CA2" w:rsidP="002D5AA4">
            <w:pPr>
              <w:jc w:val="center"/>
            </w:pPr>
            <w:r>
              <w:t>CRS-2</w:t>
            </w:r>
          </w:p>
        </w:tc>
        <w:tc>
          <w:tcPr>
            <w:tcW w:w="1440" w:type="dxa"/>
          </w:tcPr>
          <w:p w:rsidR="00AB6CA2" w:rsidRDefault="00AB6CA2" w:rsidP="002D5AA4">
            <w:pPr>
              <w:jc w:val="center"/>
            </w:pPr>
            <w:r>
              <w:t>Rapid</w:t>
            </w:r>
          </w:p>
        </w:tc>
        <w:tc>
          <w:tcPr>
            <w:tcW w:w="1440" w:type="dxa"/>
          </w:tcPr>
          <w:p w:rsidR="00AB6CA2" w:rsidRPr="009519E1" w:rsidRDefault="00AB6CA2" w:rsidP="002D5AA4">
            <w:pPr>
              <w:jc w:val="center"/>
              <w:rPr>
                <w:vertAlign w:val="superscript"/>
              </w:rPr>
            </w:pPr>
            <w:r>
              <w:t>100-400</w:t>
            </w:r>
            <w:r>
              <w:rPr>
                <w:vertAlign w:val="superscript"/>
              </w:rPr>
              <w:t>*</w:t>
            </w:r>
          </w:p>
        </w:tc>
        <w:tc>
          <w:tcPr>
            <w:tcW w:w="1440" w:type="dxa"/>
          </w:tcPr>
          <w:p w:rsidR="00AB6CA2" w:rsidRDefault="00AB6CA2" w:rsidP="002D5AA4">
            <w:pPr>
              <w:jc w:val="center"/>
            </w:pPr>
            <w:r>
              <w:t>100-250</w:t>
            </w:r>
          </w:p>
        </w:tc>
      </w:tr>
      <w:tr w:rsidR="00AB6CA2" w:rsidTr="00167928">
        <w:trPr>
          <w:jc w:val="center"/>
        </w:trPr>
        <w:tc>
          <w:tcPr>
            <w:tcW w:w="1440" w:type="dxa"/>
            <w:vMerge/>
          </w:tcPr>
          <w:p w:rsidR="00AB6CA2" w:rsidRDefault="00AB6CA2" w:rsidP="002D5AA4"/>
        </w:tc>
        <w:tc>
          <w:tcPr>
            <w:tcW w:w="1440" w:type="dxa"/>
          </w:tcPr>
          <w:p w:rsidR="00AB6CA2" w:rsidRDefault="00AB6CA2" w:rsidP="002D5AA4">
            <w:pPr>
              <w:jc w:val="center"/>
            </w:pPr>
            <w:r>
              <w:t>CMS-2</w:t>
            </w:r>
          </w:p>
        </w:tc>
        <w:tc>
          <w:tcPr>
            <w:tcW w:w="1440" w:type="dxa"/>
          </w:tcPr>
          <w:p w:rsidR="00AB6CA2" w:rsidRDefault="00AB6CA2" w:rsidP="002D5AA4">
            <w:pPr>
              <w:jc w:val="center"/>
            </w:pPr>
            <w:r>
              <w:t>Medium</w:t>
            </w:r>
          </w:p>
        </w:tc>
        <w:tc>
          <w:tcPr>
            <w:tcW w:w="1440" w:type="dxa"/>
          </w:tcPr>
          <w:p w:rsidR="00AB6CA2" w:rsidRDefault="00AB6CA2" w:rsidP="002D5AA4">
            <w:pPr>
              <w:jc w:val="center"/>
            </w:pPr>
            <w:r>
              <w:t>50-450</w:t>
            </w:r>
          </w:p>
        </w:tc>
        <w:tc>
          <w:tcPr>
            <w:tcW w:w="1440" w:type="dxa"/>
          </w:tcPr>
          <w:p w:rsidR="00AB6CA2" w:rsidRDefault="00AB6CA2" w:rsidP="002D5AA4">
            <w:pPr>
              <w:jc w:val="center"/>
            </w:pPr>
            <w:r>
              <w:t>100-250</w:t>
            </w:r>
          </w:p>
        </w:tc>
      </w:tr>
      <w:tr w:rsidR="00AB6CA2" w:rsidTr="00167928">
        <w:trPr>
          <w:jc w:val="center"/>
        </w:trPr>
        <w:tc>
          <w:tcPr>
            <w:tcW w:w="1440" w:type="dxa"/>
            <w:vMerge/>
          </w:tcPr>
          <w:p w:rsidR="00AB6CA2" w:rsidRDefault="00AB6CA2" w:rsidP="002D5AA4"/>
        </w:tc>
        <w:tc>
          <w:tcPr>
            <w:tcW w:w="1440" w:type="dxa"/>
          </w:tcPr>
          <w:p w:rsidR="00AB6CA2" w:rsidRDefault="00AB6CA2" w:rsidP="002D5AA4">
            <w:pPr>
              <w:jc w:val="center"/>
            </w:pPr>
            <w:r>
              <w:t>CMS-2h</w:t>
            </w:r>
          </w:p>
        </w:tc>
        <w:tc>
          <w:tcPr>
            <w:tcW w:w="1440" w:type="dxa"/>
          </w:tcPr>
          <w:p w:rsidR="00AB6CA2" w:rsidRDefault="00AB6CA2" w:rsidP="002D5AA4">
            <w:pPr>
              <w:jc w:val="center"/>
            </w:pPr>
            <w:r>
              <w:t>Medium</w:t>
            </w:r>
          </w:p>
        </w:tc>
        <w:tc>
          <w:tcPr>
            <w:tcW w:w="1440" w:type="dxa"/>
          </w:tcPr>
          <w:p w:rsidR="00AB6CA2" w:rsidRDefault="00AB6CA2" w:rsidP="002D5AA4">
            <w:pPr>
              <w:jc w:val="center"/>
            </w:pPr>
            <w:r>
              <w:t>50-450</w:t>
            </w:r>
          </w:p>
        </w:tc>
        <w:tc>
          <w:tcPr>
            <w:tcW w:w="1440" w:type="dxa"/>
          </w:tcPr>
          <w:p w:rsidR="00AB6CA2" w:rsidRDefault="00AB6CA2" w:rsidP="002D5AA4">
            <w:pPr>
              <w:jc w:val="center"/>
            </w:pPr>
            <w:r>
              <w:t>60-100</w:t>
            </w:r>
          </w:p>
        </w:tc>
      </w:tr>
      <w:tr w:rsidR="00AB6CA2" w:rsidTr="00167928">
        <w:trPr>
          <w:jc w:val="center"/>
        </w:trPr>
        <w:tc>
          <w:tcPr>
            <w:tcW w:w="1440" w:type="dxa"/>
            <w:vMerge/>
          </w:tcPr>
          <w:p w:rsidR="00AB6CA2" w:rsidRDefault="00AB6CA2" w:rsidP="002D5AA4"/>
        </w:tc>
        <w:tc>
          <w:tcPr>
            <w:tcW w:w="1440" w:type="dxa"/>
          </w:tcPr>
          <w:p w:rsidR="00AB6CA2" w:rsidRDefault="00AB6CA2" w:rsidP="002D5AA4">
            <w:pPr>
              <w:jc w:val="center"/>
            </w:pPr>
            <w:r>
              <w:t>CSS-1</w:t>
            </w:r>
          </w:p>
        </w:tc>
        <w:tc>
          <w:tcPr>
            <w:tcW w:w="1440" w:type="dxa"/>
          </w:tcPr>
          <w:p w:rsidR="00AB6CA2" w:rsidRDefault="00AB6CA2" w:rsidP="002D5AA4">
            <w:pPr>
              <w:jc w:val="center"/>
            </w:pPr>
            <w:r>
              <w:t>Slow</w:t>
            </w:r>
          </w:p>
        </w:tc>
        <w:tc>
          <w:tcPr>
            <w:tcW w:w="1440" w:type="dxa"/>
          </w:tcPr>
          <w:p w:rsidR="00AB6CA2" w:rsidRDefault="00AB6CA2" w:rsidP="002D5AA4">
            <w:pPr>
              <w:jc w:val="center"/>
            </w:pPr>
            <w:r>
              <w:t>20-100</w:t>
            </w:r>
          </w:p>
        </w:tc>
        <w:tc>
          <w:tcPr>
            <w:tcW w:w="1440" w:type="dxa"/>
          </w:tcPr>
          <w:p w:rsidR="00AB6CA2" w:rsidRDefault="00AB6CA2" w:rsidP="002D5AA4">
            <w:pPr>
              <w:jc w:val="center"/>
            </w:pPr>
            <w:r>
              <w:t>100-250</w:t>
            </w:r>
          </w:p>
        </w:tc>
      </w:tr>
      <w:tr w:rsidR="00AB6CA2" w:rsidTr="00167928">
        <w:trPr>
          <w:jc w:val="center"/>
        </w:trPr>
        <w:tc>
          <w:tcPr>
            <w:tcW w:w="1440" w:type="dxa"/>
            <w:vMerge/>
          </w:tcPr>
          <w:p w:rsidR="00AB6CA2" w:rsidRDefault="00AB6CA2" w:rsidP="002D5AA4"/>
        </w:tc>
        <w:tc>
          <w:tcPr>
            <w:tcW w:w="1440" w:type="dxa"/>
          </w:tcPr>
          <w:p w:rsidR="00AB6CA2" w:rsidRDefault="00AB6CA2" w:rsidP="002D5AA4">
            <w:pPr>
              <w:jc w:val="center"/>
            </w:pPr>
            <w:r>
              <w:t>CSS-1h</w:t>
            </w:r>
          </w:p>
        </w:tc>
        <w:tc>
          <w:tcPr>
            <w:tcW w:w="1440" w:type="dxa"/>
          </w:tcPr>
          <w:p w:rsidR="00AB6CA2" w:rsidRDefault="00AB6CA2" w:rsidP="002D5AA4">
            <w:pPr>
              <w:jc w:val="center"/>
            </w:pPr>
            <w:r>
              <w:t>Slow</w:t>
            </w:r>
          </w:p>
        </w:tc>
        <w:tc>
          <w:tcPr>
            <w:tcW w:w="1440" w:type="dxa"/>
          </w:tcPr>
          <w:p w:rsidR="00AB6CA2" w:rsidRDefault="00AB6CA2" w:rsidP="002D5AA4">
            <w:pPr>
              <w:jc w:val="center"/>
            </w:pPr>
            <w:r>
              <w:t>20-100</w:t>
            </w:r>
          </w:p>
        </w:tc>
        <w:tc>
          <w:tcPr>
            <w:tcW w:w="1440" w:type="dxa"/>
          </w:tcPr>
          <w:p w:rsidR="00AB6CA2" w:rsidRDefault="00AB6CA2" w:rsidP="002D5AA4">
            <w:pPr>
              <w:jc w:val="center"/>
            </w:pPr>
            <w:r>
              <w:t>60-100</w:t>
            </w:r>
          </w:p>
        </w:tc>
      </w:tr>
    </w:tbl>
    <w:p w:rsidR="00AB6CA2" w:rsidRPr="009519E1" w:rsidRDefault="00AB6CA2" w:rsidP="00167928">
      <w:pPr>
        <w:adjustRightInd w:val="0"/>
        <w:ind w:left="1260"/>
        <w:rPr>
          <w:spacing w:val="-2"/>
        </w:rPr>
      </w:pPr>
      <w:r>
        <w:rPr>
          <w:spacing w:val="-2"/>
          <w:vertAlign w:val="superscript"/>
        </w:rPr>
        <w:t>*</w:t>
      </w:r>
      <w:r>
        <w:rPr>
          <w:spacing w:val="-2"/>
        </w:rPr>
        <w:t xml:space="preserve"> Viscosity at 50</w:t>
      </w:r>
      <w:r w:rsidR="006F331D">
        <w:rPr>
          <w:spacing w:val="-2"/>
          <w:vertAlign w:val="superscript"/>
        </w:rPr>
        <w:t>°</w:t>
      </w:r>
      <w:r>
        <w:rPr>
          <w:spacing w:val="-2"/>
        </w:rPr>
        <w:t>C</w:t>
      </w:r>
    </w:p>
    <w:p w:rsidR="007F677F" w:rsidRDefault="007F677F" w:rsidP="00AB6CA2">
      <w:pPr>
        <w:adjustRightInd w:val="0"/>
        <w:rPr>
          <w:spacing w:val="-2"/>
        </w:rPr>
      </w:pPr>
    </w:p>
    <w:p w:rsidR="00AB6CA2" w:rsidRDefault="00AB6CA2" w:rsidP="006F331D">
      <w:pPr>
        <w:pStyle w:val="Heading4"/>
      </w:pPr>
      <w:bookmarkStart w:id="71" w:name="_Toc295918620"/>
      <w:r w:rsidRPr="00215439">
        <w:t xml:space="preserve">Cutback </w:t>
      </w:r>
      <w:r w:rsidR="00E06139">
        <w:t>A</w:t>
      </w:r>
      <w:r w:rsidRPr="00215439">
        <w:t>sphalt</w:t>
      </w:r>
      <w:bookmarkEnd w:id="71"/>
    </w:p>
    <w:p w:rsidR="00AB6CA2" w:rsidRDefault="00AB6CA2" w:rsidP="006F331D">
      <w:r>
        <w:t>As a petroleum product, asphalt readily dissolves in the lighter, more volatile petroleum distillates such as gasoline, kerosene, and fuel oil.  In the past, it was common to “cutback” asphalt with one of these distillates in order to place the binder at ambient temperatures for various surface coats or for cold-mix.  Due to environmental concerns surround</w:t>
      </w:r>
      <w:r w:rsidR="002D5D52">
        <w:t>ing</w:t>
      </w:r>
      <w:r>
        <w:t xml:space="preserve"> the release of volatile organic carbon (VOC) into the atmosphere, the use of cutbacks has largely been curtailed being replaced by emulsions, but cutbacks will still be used in cold, wet climates where</w:t>
      </w:r>
      <w:r w:rsidR="00167928">
        <w:t xml:space="preserve"> emulsions are less effective.</w:t>
      </w:r>
    </w:p>
    <w:p w:rsidR="00AB6CA2" w:rsidRDefault="00AB6CA2" w:rsidP="006F331D"/>
    <w:p w:rsidR="00AB6CA2" w:rsidRDefault="00AB6CA2" w:rsidP="006F331D">
      <w:r>
        <w:t xml:space="preserve">Cutbacks are specified under </w:t>
      </w:r>
      <w:r w:rsidR="009C51F9" w:rsidRPr="009C51F9">
        <w:rPr>
          <w:color w:val="FF0000"/>
        </w:rPr>
        <w:t>AASHTO M 81 and M 82</w:t>
      </w:r>
      <w:r w:rsidR="009C51F9">
        <w:t xml:space="preserve"> and </w:t>
      </w:r>
      <w:r>
        <w:t xml:space="preserve">ASTM D2026, </w:t>
      </w:r>
      <w:r w:rsidR="00167928">
        <w:t xml:space="preserve">ASTM </w:t>
      </w:r>
      <w:r>
        <w:t xml:space="preserve">D2027, and </w:t>
      </w:r>
      <w:r w:rsidR="00167928">
        <w:t xml:space="preserve">ASTM </w:t>
      </w:r>
      <w:r>
        <w:t xml:space="preserve">D2028.  They are classified as rapid-curing (dissolved in a highly volatile solvent such as gasoline), medium-curing (dissolved in less volatile solvent such as kerosene), and slow curing (in which the solvent is typically a fuel oil).  A rapid-curing (RC) cutback will cure in 5 to 10 minutes, medium-curing (MC) in a few days and slow-curing (SC) within a few months. </w:t>
      </w:r>
      <w:r w:rsidR="007F677F">
        <w:t xml:space="preserve"> </w:t>
      </w:r>
      <w:r>
        <w:t>Because cutback</w:t>
      </w:r>
      <w:r w:rsidR="007F677F">
        <w:t>s</w:t>
      </w:r>
      <w:r>
        <w:t xml:space="preserve"> are non-polar, there is no electrical charge and thus aggregate surface charge is not a concern.  Viscosity grading is done at 140</w:t>
      </w:r>
      <w:r w:rsidR="007F677F">
        <w:rPr>
          <w:vertAlign w:val="superscript"/>
        </w:rPr>
        <w:t>°</w:t>
      </w:r>
      <w:r>
        <w:t xml:space="preserve">F in accordance with AASHTO T 201, </w:t>
      </w:r>
      <w:r w:rsidRPr="00685F18">
        <w:rPr>
          <w:i/>
        </w:rPr>
        <w:t>Standard Method of Test for Kinematic Viscosity of Asphalts</w:t>
      </w:r>
      <w:r w:rsidR="007F750A">
        <w:rPr>
          <w:i/>
        </w:rPr>
        <w:t xml:space="preserve"> (Bitumens)</w:t>
      </w:r>
      <w:r w:rsidRPr="00685F18">
        <w:rPr>
          <w:i/>
        </w:rPr>
        <w:t>,</w:t>
      </w:r>
      <w:r>
        <w:t xml:space="preserve"> with Grades of 30, 70, 250, 800, and 3000 established in the specifications.  For example, an SC-800 is a slow-curing cutback with a viscosity grade of 800. </w:t>
      </w:r>
    </w:p>
    <w:p w:rsidR="007F750A" w:rsidRDefault="007F750A" w:rsidP="006F331D"/>
    <w:p w:rsidR="00AB6CA2" w:rsidRDefault="00266D9B" w:rsidP="00266D9B">
      <w:pPr>
        <w:pStyle w:val="Heading3"/>
      </w:pPr>
      <w:bookmarkStart w:id="72" w:name="_Toc295918622"/>
      <w:r>
        <w:t xml:space="preserve">Asphalt </w:t>
      </w:r>
      <w:r w:rsidR="00AB6CA2">
        <w:t>Additives/</w:t>
      </w:r>
      <w:r w:rsidR="00E06139">
        <w:t>M</w:t>
      </w:r>
      <w:r w:rsidR="00AB6CA2">
        <w:t>odifiers</w:t>
      </w:r>
      <w:bookmarkEnd w:id="72"/>
    </w:p>
    <w:p w:rsidR="00AB6CA2" w:rsidRDefault="00AB6CA2" w:rsidP="006F331D">
      <w:r>
        <w:t>As a material derived from a natural source, the properties of the asphalt binder are largely controlled by the source petroleum and refining process.  As such, asphalt binders will not always be available that possess the properties needed for the design.  Most commonly, it is difficult to find a binder with the desired temperature range, being stiff enough to resist rutting at high temperatures while being adequately pliable at cold temperatures to resist low-temperature cracking.  This property, referred to as temperature susceptibility, can be added to a natural binder through modification, including the ad</w:t>
      </w:r>
      <w:r w:rsidR="007F677F">
        <w:t>dition of polymers and fibers.</w:t>
      </w:r>
    </w:p>
    <w:p w:rsidR="00AB6CA2" w:rsidRDefault="00AB6CA2" w:rsidP="006F331D"/>
    <w:p w:rsidR="00AB6CA2" w:rsidRPr="0014742C" w:rsidRDefault="00AB6CA2" w:rsidP="006F331D">
      <w:pPr>
        <w:rPr>
          <w:color w:val="FF0000"/>
        </w:rPr>
      </w:pPr>
      <w:r>
        <w:t>In addition, other additives can be added to modify the properties of the asphalt binder for other reasons including modification of mixing and compaction temperature through warm-mix technologies or increased sustainability through the addition of recycled material including crumb rubber and asphalt shingles.</w:t>
      </w:r>
      <w:r w:rsidR="0014742C">
        <w:t xml:space="preserve">  </w:t>
      </w:r>
      <w:r w:rsidR="0014742C" w:rsidRPr="0014742C">
        <w:rPr>
          <w:color w:val="FF0000"/>
        </w:rPr>
        <w:t>Chemical additives include polyphosphoric acid (PPA), which is added to increase the high-temperature stiffness of the asphalt binder.</w:t>
      </w:r>
    </w:p>
    <w:p w:rsidR="00AB6CA2" w:rsidRDefault="00AB6CA2" w:rsidP="006F331D"/>
    <w:p w:rsidR="00AB6CA2" w:rsidRDefault="00AB6CA2" w:rsidP="006F331D">
      <w:r>
        <w:t>The following discussion will briefly introduce each of these additives/modifiers.</w:t>
      </w:r>
    </w:p>
    <w:p w:rsidR="00AB6CA2" w:rsidRDefault="00AB6CA2" w:rsidP="006F331D"/>
    <w:p w:rsidR="00AB6CA2" w:rsidRDefault="00AB6CA2" w:rsidP="006F331D">
      <w:pPr>
        <w:pStyle w:val="Heading4"/>
      </w:pPr>
      <w:bookmarkStart w:id="73" w:name="_Toc295918623"/>
      <w:r>
        <w:t>Polymers</w:t>
      </w:r>
      <w:bookmarkEnd w:id="73"/>
    </w:p>
    <w:p w:rsidR="00AB6CA2" w:rsidRPr="0014742C" w:rsidRDefault="00AB6CA2" w:rsidP="006F331D">
      <w:pPr>
        <w:rPr>
          <w:color w:val="FF0000"/>
        </w:rPr>
      </w:pPr>
      <w:r>
        <w:t>In simplest terms, polymers are complex chain or cluster molecules formed from many (poly) small molecules (monomers).  Polymers used for modifying asphalt binders are varied, but can be broadly grouped into two categories: elastomers (r</w:t>
      </w:r>
      <w:r w:rsidR="007F677F">
        <w:t>u</w:t>
      </w:r>
      <w:r>
        <w:t>bber) and plastomer (plastic).  Common elastomers added to asphalt include natural rubbers, styrene-butadiene rubber (SBR) latexes, styrene-isoprene-styrene (SIS) block copolymers, polychloroprene latexes, and crumb rubber modifiers made from ground tires.  Plastomers used as asphalt-modifiers include polyethylene, polypropylene, ethyl vinyl acetate (EVA), polyvinyl chloride (PVC), ethylene prop</w:t>
      </w:r>
      <w:r w:rsidR="006F331D">
        <w:t>ylene (EPDM), and polyolefins.</w:t>
      </w:r>
      <w:r w:rsidR="0014742C">
        <w:t xml:space="preserve"> </w:t>
      </w:r>
      <w:r w:rsidR="0014742C" w:rsidRPr="0014742C">
        <w:rPr>
          <w:color w:val="FF0000"/>
        </w:rPr>
        <w:t>Styrene-butadiene-styrene (SBS) is a commonly used plastomer.</w:t>
      </w:r>
    </w:p>
    <w:p w:rsidR="006F331D" w:rsidRPr="0014742C" w:rsidRDefault="006F331D" w:rsidP="006F331D">
      <w:pPr>
        <w:rPr>
          <w:color w:val="FF0000"/>
        </w:rPr>
      </w:pPr>
    </w:p>
    <w:p w:rsidR="00AB6CA2" w:rsidRDefault="00AB6CA2" w:rsidP="006F331D">
      <w:r>
        <w:t>In general, elas</w:t>
      </w:r>
      <w:r w:rsidRPr="006F331D">
        <w:t>t</w:t>
      </w:r>
      <w:r>
        <w:t>omers resist deformation by stretching and quickly recovering their shape once the load is released.  In addition, their tensile strength increases as they are elongated.  In contrast, the rigid three-dimensional structure of plastomers resists deformation.  Thus they demonstrate high-early strength when loaded but may fracture under strain.</w:t>
      </w:r>
    </w:p>
    <w:p w:rsidR="00AB6CA2" w:rsidRDefault="00AB6CA2" w:rsidP="006F331D"/>
    <w:p w:rsidR="00AB6CA2" w:rsidRDefault="00AB6CA2" w:rsidP="006F331D">
      <w:r>
        <w:t xml:space="preserve">Polymers are sold under a number of brand names and each is unique in its properties and use.  Some are pre-blended and sold as a graded binder whereas others are blended with the neat asphalt binder at the hot-mix plant.  Polymer-modification is commonly used to increase the high-temperature range of a binder without significantly impacting its low temperature properties, and thus </w:t>
      </w:r>
      <w:r w:rsidR="007F677F">
        <w:t>is</w:t>
      </w:r>
      <w:r>
        <w:t xml:space="preserve"> required in some climatic conditions, particularly under high, slow moving traffic.  Polymer-modification is also common in emulsions used for surface treatments, particularly those</w:t>
      </w:r>
      <w:r w:rsidR="007F677F">
        <w:t xml:space="preserve"> sold as proprietary materials.</w:t>
      </w:r>
    </w:p>
    <w:p w:rsidR="00AB6CA2" w:rsidRDefault="00AB6CA2" w:rsidP="00AB6CA2">
      <w:pPr>
        <w:adjustRightInd w:val="0"/>
        <w:rPr>
          <w:spacing w:val="-2"/>
        </w:rPr>
      </w:pPr>
    </w:p>
    <w:p w:rsidR="00AB6CA2" w:rsidRDefault="00AB6CA2" w:rsidP="006F331D">
      <w:pPr>
        <w:pStyle w:val="Heading4"/>
      </w:pPr>
      <w:bookmarkStart w:id="74" w:name="_Toc295918624"/>
      <w:r>
        <w:t>Fibers</w:t>
      </w:r>
      <w:bookmarkEnd w:id="74"/>
    </w:p>
    <w:p w:rsidR="00AB6CA2" w:rsidRDefault="00AB6CA2" w:rsidP="006F331D">
      <w:r>
        <w:t>Natural and synthetic fibers have been used in asphalt mixtures for years.  Today, almost all fibers used are manufactured</w:t>
      </w:r>
      <w:r w:rsidR="0045477F">
        <w:t xml:space="preserve"> or </w:t>
      </w:r>
      <w:r>
        <w:t>synthetic, with their use most common in high asphalt content mixtures such as open-graded friction courses, porous asphalt, and stone matrix asphalt (SMA).  The fibers help thicken the binder, reducing drain down and maintaining thick films to enhance durability.  Common fibers in use today include polypropylene, polyester, cellulose, and mineral fibers</w:t>
      </w:r>
    </w:p>
    <w:p w:rsidR="00AB6CA2" w:rsidRDefault="00AB6CA2" w:rsidP="00AB6CA2">
      <w:pPr>
        <w:adjustRightInd w:val="0"/>
        <w:rPr>
          <w:spacing w:val="-2"/>
        </w:rPr>
      </w:pPr>
    </w:p>
    <w:p w:rsidR="00AB6CA2" w:rsidRDefault="00AB6CA2" w:rsidP="006F331D">
      <w:pPr>
        <w:pStyle w:val="Heading4"/>
      </w:pPr>
      <w:bookmarkStart w:id="75" w:name="_Toc295918625"/>
      <w:r>
        <w:t>Warm-</w:t>
      </w:r>
      <w:r w:rsidR="00E06139">
        <w:t>M</w:t>
      </w:r>
      <w:r>
        <w:t xml:space="preserve">ix </w:t>
      </w:r>
      <w:r w:rsidR="00E06139">
        <w:t>A</w:t>
      </w:r>
      <w:r>
        <w:t xml:space="preserve">sphalt </w:t>
      </w:r>
      <w:r w:rsidR="00E06139">
        <w:t>A</w:t>
      </w:r>
      <w:r>
        <w:t>dditives</w:t>
      </w:r>
      <w:bookmarkEnd w:id="75"/>
    </w:p>
    <w:p w:rsidR="00AB6CA2" w:rsidRDefault="00AB6CA2" w:rsidP="006F331D">
      <w:r>
        <w:t xml:space="preserve">Primarily due to environmental concerns, but also to enhanced constructability, the use of various warm-mix asphalt (WMA) additives is increasing dramatically.  There are over 30 WMA systems currently on the market, all proprietary in nature, and the number continues to grow.  In general, WMA systems reduce the viscosity of the binder at </w:t>
      </w:r>
      <w:r w:rsidR="00AA7638">
        <w:t xml:space="preserve">lower </w:t>
      </w:r>
      <w:r>
        <w:t xml:space="preserve">temperatures through foaming processes or the addition of chemical additives.  </w:t>
      </w:r>
      <w:r w:rsidR="00B66244" w:rsidRPr="00B66244">
        <w:t>Foaming technologies are used to increase the volume of binder to provide better aggregate coating at lower temperatures.</w:t>
      </w:r>
      <w:r w:rsidR="00710079">
        <w:t xml:space="preserve"> </w:t>
      </w:r>
      <w:r w:rsidR="00B66244" w:rsidRPr="00B66244">
        <w:t xml:space="preserve"> Surfactant additives work by reducing the surface tension of the asphalt which also allows better coating at lower production temperatures.</w:t>
      </w:r>
      <w:r w:rsidR="00710079">
        <w:t xml:space="preserve"> </w:t>
      </w:r>
      <w:r w:rsidR="00B66244" w:rsidRPr="00B66244">
        <w:t xml:space="preserve"> Long-chain paraffin additives reduce the viscosity of binder at the lower end of the working temperature range</w:t>
      </w:r>
      <w:r w:rsidR="00B66244">
        <w:t xml:space="preserve">.  </w:t>
      </w:r>
      <w:r>
        <w:t>As a rapidly developing technology, WMA will continue to evolve.</w:t>
      </w:r>
    </w:p>
    <w:p w:rsidR="00AB6CA2" w:rsidRDefault="00AB6CA2" w:rsidP="00AB6CA2">
      <w:pPr>
        <w:adjustRightInd w:val="0"/>
        <w:rPr>
          <w:spacing w:val="-2"/>
        </w:rPr>
      </w:pPr>
    </w:p>
    <w:p w:rsidR="00AB6CA2" w:rsidRDefault="00AB6CA2" w:rsidP="006F331D">
      <w:pPr>
        <w:pStyle w:val="Heading4"/>
      </w:pPr>
      <w:bookmarkStart w:id="76" w:name="_Toc295918626"/>
      <w:r w:rsidRPr="00A95134">
        <w:rPr>
          <w:color w:val="FF0000"/>
        </w:rPr>
        <w:t>Re</w:t>
      </w:r>
      <w:r w:rsidR="00A95134" w:rsidRPr="00A95134">
        <w:rPr>
          <w:color w:val="FF0000"/>
        </w:rPr>
        <w:t>claimed</w:t>
      </w:r>
      <w:r>
        <w:t xml:space="preserve"> </w:t>
      </w:r>
      <w:r w:rsidR="00167928">
        <w:t>A</w:t>
      </w:r>
      <w:r>
        <w:t>dditives</w:t>
      </w:r>
      <w:bookmarkEnd w:id="76"/>
    </w:p>
    <w:p w:rsidR="00AB6CA2" w:rsidRPr="00F53B64" w:rsidRDefault="00A95134" w:rsidP="006F331D">
      <w:pPr>
        <w:rPr>
          <w:color w:val="FF0000"/>
        </w:rPr>
      </w:pPr>
      <w:r w:rsidRPr="00A95134">
        <w:rPr>
          <w:color w:val="FF0000"/>
        </w:rPr>
        <w:t>A reclaimed material is a waste product that is used in another process to offset the use of new material in the production cycle.</w:t>
      </w:r>
      <w:r>
        <w:t xml:space="preserve">  </w:t>
      </w:r>
      <w:r w:rsidR="00AB6CA2">
        <w:t xml:space="preserve">Crumb rubber </w:t>
      </w:r>
      <w:r w:rsidR="00E90D53">
        <w:t xml:space="preserve">or </w:t>
      </w:r>
      <w:r w:rsidR="00E90D53">
        <w:rPr>
          <w:color w:val="7030A0"/>
        </w:rPr>
        <w:t xml:space="preserve">ground tire rubber (GTR) </w:t>
      </w:r>
      <w:r w:rsidR="00AB6CA2">
        <w:t xml:space="preserve">from scrap tires is the most common </w:t>
      </w:r>
      <w:r w:rsidRPr="00A95134">
        <w:rPr>
          <w:color w:val="FF0000"/>
        </w:rPr>
        <w:t>reclaimed</w:t>
      </w:r>
      <w:r>
        <w:t xml:space="preserve"> </w:t>
      </w:r>
      <w:r w:rsidR="00AB6CA2">
        <w:t>material additive</w:t>
      </w:r>
      <w:r w:rsidR="00E90D53">
        <w:rPr>
          <w:color w:val="7030A0"/>
        </w:rPr>
        <w:t>, having</w:t>
      </w:r>
      <w:r w:rsidR="00AB6CA2">
        <w:t xml:space="preserve"> been</w:t>
      </w:r>
      <w:r w:rsidR="00167928">
        <w:t xml:space="preserve"> used as an asphalt-</w:t>
      </w:r>
      <w:r w:rsidR="00AB6CA2">
        <w:t xml:space="preserve">modifier for decades, and the technology for its incorporation is very mature.  One of two processes is used: either a wet process or dry process.  In the wet process, </w:t>
      </w:r>
      <w:r w:rsidR="00E90D53">
        <w:rPr>
          <w:color w:val="7030A0"/>
        </w:rPr>
        <w:t>GTR</w:t>
      </w:r>
      <w:r w:rsidR="00AB6CA2">
        <w:t xml:space="preserve"> is blended with the asphalt binder</w:t>
      </w:r>
      <w:r w:rsidR="00E90D53">
        <w:t>,</w:t>
      </w:r>
      <w:r w:rsidR="00AB6CA2">
        <w:t xml:space="preserve"> </w:t>
      </w:r>
      <w:r w:rsidR="00E90D53">
        <w:rPr>
          <w:color w:val="7030A0"/>
        </w:rPr>
        <w:t xml:space="preserve">using a cross-linking agent, </w:t>
      </w:r>
      <w:r w:rsidR="00AB6CA2">
        <w:t xml:space="preserve">prior to use on the project.  The blend is commonly called asphalt-rubber.  In the dry process, the crumb rubber is blended with the aggregate prior to the </w:t>
      </w:r>
      <w:r w:rsidR="00167928">
        <w:t>addition of the asphalt binder.</w:t>
      </w:r>
      <w:r w:rsidR="00F53B64">
        <w:t xml:space="preserve">  </w:t>
      </w:r>
      <w:r w:rsidR="00F53B64" w:rsidRPr="00F53B64">
        <w:rPr>
          <w:color w:val="FF0000"/>
        </w:rPr>
        <w:t xml:space="preserve">Best methods of specifying testing and accepting rubber </w:t>
      </w:r>
      <w:r w:rsidR="00E90D53">
        <w:rPr>
          <w:color w:val="7030A0"/>
        </w:rPr>
        <w:t xml:space="preserve">additives </w:t>
      </w:r>
      <w:r w:rsidR="00F53B64" w:rsidRPr="00F53B64">
        <w:rPr>
          <w:color w:val="FF0000"/>
        </w:rPr>
        <w:t>are under discussion.</w:t>
      </w:r>
    </w:p>
    <w:p w:rsidR="00AB6CA2" w:rsidRDefault="00AB6CA2" w:rsidP="00AB6CA2">
      <w:pPr>
        <w:adjustRightInd w:val="0"/>
        <w:rPr>
          <w:spacing w:val="-2"/>
        </w:rPr>
      </w:pPr>
    </w:p>
    <w:p w:rsidR="00AB6CA2" w:rsidRDefault="00266D9B" w:rsidP="00E06139">
      <w:pPr>
        <w:pStyle w:val="Heading3"/>
      </w:pPr>
      <w:bookmarkStart w:id="77" w:name="_Toc295918627"/>
      <w:r>
        <w:t xml:space="preserve">Asphalt </w:t>
      </w:r>
      <w:r w:rsidR="00AB6CA2">
        <w:t>Mix</w:t>
      </w:r>
      <w:r w:rsidR="004B41EE">
        <w:t>ture</w:t>
      </w:r>
      <w:r w:rsidR="00AB6CA2">
        <w:t xml:space="preserve"> </w:t>
      </w:r>
      <w:r w:rsidR="00E06139">
        <w:t>T</w:t>
      </w:r>
      <w:r w:rsidR="00AB6CA2">
        <w:t>ypes</w:t>
      </w:r>
      <w:bookmarkEnd w:id="77"/>
    </w:p>
    <w:p w:rsidR="00AB6CA2" w:rsidRDefault="00AB6CA2" w:rsidP="006F331D">
      <w:r>
        <w:t xml:space="preserve">There are a number of asphalt concrete mixes (blends of asphalt cement and aggregate) commonly used in pavement structures.  </w:t>
      </w:r>
      <w:r w:rsidR="003424B2">
        <w:rPr>
          <w:color w:val="7030A0"/>
        </w:rPr>
        <w:t xml:space="preserve">All </w:t>
      </w:r>
      <w:r w:rsidR="00012E11">
        <w:rPr>
          <w:color w:val="7030A0"/>
        </w:rPr>
        <w:t xml:space="preserve">higher quality </w:t>
      </w:r>
      <w:r w:rsidR="003424B2">
        <w:rPr>
          <w:color w:val="7030A0"/>
        </w:rPr>
        <w:t>mix types were generally lumped under the category of</w:t>
      </w:r>
      <w:r>
        <w:t xml:space="preserve"> hot-mix asphalt</w:t>
      </w:r>
      <w:r w:rsidR="003424B2">
        <w:rPr>
          <w:color w:val="7030A0"/>
        </w:rPr>
        <w:t xml:space="preserve"> (HMA)</w:t>
      </w:r>
      <w:r>
        <w:t xml:space="preserve">, </w:t>
      </w:r>
      <w:r w:rsidR="003424B2">
        <w:rPr>
          <w:color w:val="7030A0"/>
        </w:rPr>
        <w:t>because of the same high temperature requirements for production (usually 300ºF to 325ºF),</w:t>
      </w:r>
      <w:r w:rsidR="003424B2">
        <w:t xml:space="preserve"> </w:t>
      </w:r>
      <w:r>
        <w:t>but WMA is becoming increasingly popular</w:t>
      </w:r>
      <w:r w:rsidR="00012E11">
        <w:t xml:space="preserve"> </w:t>
      </w:r>
      <w:r w:rsidR="00012E11">
        <w:rPr>
          <w:color w:val="7030A0"/>
        </w:rPr>
        <w:t xml:space="preserve">as an alternate means of production.  Mix types that vary based on their materials and volumetric properties, include </w:t>
      </w:r>
      <w:r>
        <w:t>porous asphalt, SMA, asphalt-rubber, surface treatments</w:t>
      </w:r>
      <w:r w:rsidR="00012E11">
        <w:t xml:space="preserve">, </w:t>
      </w:r>
      <w:r w:rsidR="00012E11">
        <w:rPr>
          <w:color w:val="7030A0"/>
        </w:rPr>
        <w:t>etc.</w:t>
      </w:r>
      <w:r>
        <w:t xml:space="preserve">  Further, increasing emphasis on wise resource utilization has </w:t>
      </w:r>
      <w:r w:rsidR="007543E3">
        <w:t>led</w:t>
      </w:r>
      <w:r>
        <w:t xml:space="preserve"> to renewed interest </w:t>
      </w:r>
      <w:r w:rsidR="00012E11">
        <w:rPr>
          <w:color w:val="7030A0"/>
        </w:rPr>
        <w:t>i</w:t>
      </w:r>
      <w:r>
        <w:t>n various recycling options that use asphalt as a binding material.</w:t>
      </w:r>
    </w:p>
    <w:p w:rsidR="006F331D" w:rsidRPr="003D2EB3" w:rsidRDefault="006F331D" w:rsidP="006F331D"/>
    <w:p w:rsidR="00AB6CA2" w:rsidRDefault="00AB6CA2" w:rsidP="00E06139">
      <w:pPr>
        <w:pStyle w:val="Heading4"/>
      </w:pPr>
      <w:bookmarkStart w:id="78" w:name="_Toc295918628"/>
      <w:r w:rsidRPr="008140F8">
        <w:t>Dens</w:t>
      </w:r>
      <w:r>
        <w:t>e-</w:t>
      </w:r>
      <w:r w:rsidR="00E06139">
        <w:t>G</w:t>
      </w:r>
      <w:r>
        <w:t xml:space="preserve">raded </w:t>
      </w:r>
      <w:bookmarkEnd w:id="78"/>
      <w:r w:rsidR="00CB7444">
        <w:t>Asphalt</w:t>
      </w:r>
      <w:r w:rsidR="004B41EE">
        <w:t xml:space="preserve"> Mixtures</w:t>
      </w:r>
    </w:p>
    <w:p w:rsidR="00AB6CA2" w:rsidRDefault="00AB6CA2" w:rsidP="006F331D">
      <w:r>
        <w:t xml:space="preserve">Dense-graded </w:t>
      </w:r>
      <w:r w:rsidR="00CB7444">
        <w:t>asphalt</w:t>
      </w:r>
      <w:r>
        <w:t xml:space="preserve"> </w:t>
      </w:r>
      <w:r w:rsidR="004B41EE">
        <w:t>mixtures are</w:t>
      </w:r>
      <w:r>
        <w:t xml:space="preserve"> the most commonly used asphalt paving material, being produced by blending heated, densely-graded aggregates with a hot asphalt cement binder.  </w:t>
      </w:r>
      <w:r w:rsidR="006A28C7">
        <w:t xml:space="preserve">Key </w:t>
      </w:r>
      <w:r>
        <w:t xml:space="preserve">elements of dense-graded </w:t>
      </w:r>
      <w:r w:rsidR="00CB7444">
        <w:t>asphalt</w:t>
      </w:r>
      <w:r>
        <w:t xml:space="preserve"> </w:t>
      </w:r>
      <w:r w:rsidR="004B41EE">
        <w:t xml:space="preserve">mixtures </w:t>
      </w:r>
      <w:r>
        <w:t>are a carefully controlled aggregate gradation with all particle sizes represented, a specified range of material passing the No. 200 sieve (mineral filler) needed for the creation of the mastic, an optimal asphalt binder content (typically around 5 percent), and a design air void content of around 4 percent.  Typically, mixing and compaction temperatures range from 275</w:t>
      </w:r>
      <w:r w:rsidR="00AA3F0A">
        <w:rPr>
          <w:vertAlign w:val="superscript"/>
        </w:rPr>
        <w:t>°</w:t>
      </w:r>
      <w:r>
        <w:t xml:space="preserve">F </w:t>
      </w:r>
      <w:r w:rsidRPr="0062624A">
        <w:t>to</w:t>
      </w:r>
      <w:r>
        <w:t xml:space="preserve"> 350</w:t>
      </w:r>
      <w:r w:rsidR="00AA3F0A">
        <w:rPr>
          <w:vertAlign w:val="superscript"/>
        </w:rPr>
        <w:t>°</w:t>
      </w:r>
      <w:r>
        <w:t xml:space="preserve">F.  The aggregate gradation used in dense-graded </w:t>
      </w:r>
      <w:r w:rsidR="004B41EE">
        <w:t>asphalt mixtures</w:t>
      </w:r>
      <w:r>
        <w:t xml:space="preserve"> will closely follow the maximum density line plotted on the 0.45 power curve, although never directly along it as space must be provided for the asphalt cement binder.  If the plotted aggregate gradation predominantly falls above the maximum density line, especially in the vicinity of the No. 8 sieve, the mix would be considered a fine mix, meaning it has a high percentage of fine material.  Such mixtures have very tight surfaces.  Alternatively, a coarse mixture has a higher percentage of coarse material, resulting in a more open surface.  Modern mixtures designed under Superpave are commonly considered coarse.</w:t>
      </w:r>
    </w:p>
    <w:p w:rsidR="00AB6CA2" w:rsidRPr="00871904" w:rsidRDefault="00AB6CA2" w:rsidP="00AB6CA2">
      <w:pPr>
        <w:adjustRightInd w:val="0"/>
        <w:rPr>
          <w:spacing w:val="-2"/>
        </w:rPr>
      </w:pPr>
    </w:p>
    <w:p w:rsidR="00AB6CA2" w:rsidRDefault="009C51F9" w:rsidP="00E06139">
      <w:pPr>
        <w:pStyle w:val="Heading4"/>
      </w:pPr>
      <w:r w:rsidRPr="009C51F9">
        <w:rPr>
          <w:color w:val="FF0000"/>
        </w:rPr>
        <w:t>Warm Mix Asphalt</w:t>
      </w:r>
      <w:r w:rsidR="00AF71B8">
        <w:rPr>
          <w:color w:val="FF0000"/>
        </w:rPr>
        <w:t xml:space="preserve"> </w:t>
      </w:r>
      <w:r>
        <w:t>(WMA)</w:t>
      </w:r>
    </w:p>
    <w:p w:rsidR="00AB6CA2" w:rsidRDefault="003424B2" w:rsidP="006F331D">
      <w:r>
        <w:rPr>
          <w:color w:val="7030A0"/>
        </w:rPr>
        <w:t xml:space="preserve">Warm mix asphalt (WMA) has </w:t>
      </w:r>
      <w:r w:rsidR="00AB6CA2">
        <w:t>the addition of a</w:t>
      </w:r>
      <w:r>
        <w:rPr>
          <w:color w:val="7030A0"/>
        </w:rPr>
        <w:t>n</w:t>
      </w:r>
      <w:r w:rsidR="00AB6CA2">
        <w:t xml:space="preserve"> additive that allows mixing and compac</w:t>
      </w:r>
      <w:r>
        <w:t xml:space="preserve">tion at lower temperatures.  </w:t>
      </w:r>
      <w:r>
        <w:rPr>
          <w:color w:val="7030A0"/>
        </w:rPr>
        <w:t>T</w:t>
      </w:r>
      <w:r w:rsidR="00AB6CA2">
        <w:t xml:space="preserve">here are a number of different additives, and depending on the type used, </w:t>
      </w:r>
      <w:r>
        <w:rPr>
          <w:color w:val="7030A0"/>
        </w:rPr>
        <w:t xml:space="preserve">mixing </w:t>
      </w:r>
      <w:r w:rsidR="00AB6CA2">
        <w:t xml:space="preserve">temperatures can be reduced </w:t>
      </w:r>
      <w:r>
        <w:rPr>
          <w:color w:val="7030A0"/>
        </w:rPr>
        <w:t>from</w:t>
      </w:r>
      <w:r w:rsidR="00AB6CA2">
        <w:t xml:space="preserve"> 30</w:t>
      </w:r>
      <w:r w:rsidR="00AA3F0A">
        <w:rPr>
          <w:vertAlign w:val="superscript"/>
        </w:rPr>
        <w:t>°</w:t>
      </w:r>
      <w:r w:rsidR="00AB6CA2">
        <w:t>F to 50</w:t>
      </w:r>
      <w:r w:rsidR="00AA3F0A">
        <w:rPr>
          <w:vertAlign w:val="superscript"/>
        </w:rPr>
        <w:t>°</w:t>
      </w:r>
      <w:r w:rsidR="00AB6CA2">
        <w:t>F, although some report</w:t>
      </w:r>
      <w:r>
        <w:rPr>
          <w:color w:val="7030A0"/>
        </w:rPr>
        <w:t>s claim</w:t>
      </w:r>
      <w:r w:rsidR="00AB6CA2">
        <w:t xml:space="preserve"> temperature reductions of up to 100</w:t>
      </w:r>
      <w:r w:rsidR="00AA3F0A">
        <w:rPr>
          <w:vertAlign w:val="superscript"/>
        </w:rPr>
        <w:t>°</w:t>
      </w:r>
      <w:r w:rsidR="00AB6CA2">
        <w:t xml:space="preserve">F.  Other than the lower temperatures, WMA mixtures are expected to perform similarly to </w:t>
      </w:r>
      <w:r w:rsidR="002D59F3">
        <w:t>asphalt</w:t>
      </w:r>
      <w:r w:rsidR="00AB6CA2">
        <w:t xml:space="preserve"> mixtures, although long-term performance data is still be</w:t>
      </w:r>
      <w:r w:rsidR="006A28C7">
        <w:t>ing gathered.</w:t>
      </w:r>
    </w:p>
    <w:p w:rsidR="00AB6CA2" w:rsidRPr="00632DAC" w:rsidRDefault="00AB6CA2" w:rsidP="00AB6CA2">
      <w:pPr>
        <w:adjustRightInd w:val="0"/>
        <w:rPr>
          <w:spacing w:val="-2"/>
        </w:rPr>
      </w:pPr>
    </w:p>
    <w:p w:rsidR="00AB6CA2" w:rsidRDefault="00AB6CA2" w:rsidP="00E06139">
      <w:pPr>
        <w:pStyle w:val="Heading4"/>
      </w:pPr>
      <w:bookmarkStart w:id="79" w:name="_Toc295918630"/>
      <w:r w:rsidRPr="008140F8">
        <w:t>Open-</w:t>
      </w:r>
      <w:r w:rsidR="00E06139">
        <w:t>G</w:t>
      </w:r>
      <w:r w:rsidRPr="008140F8">
        <w:t xml:space="preserve">raded </w:t>
      </w:r>
      <w:r w:rsidR="00AA3F0A">
        <w:t>Fr</w:t>
      </w:r>
      <w:r w:rsidRPr="008140F8">
        <w:t xml:space="preserve">iction </w:t>
      </w:r>
      <w:r w:rsidR="00AA3F0A">
        <w:t>C</w:t>
      </w:r>
      <w:r w:rsidRPr="008140F8">
        <w:t>ourse</w:t>
      </w:r>
      <w:r w:rsidR="00AA3F0A">
        <w:t>s,</w:t>
      </w:r>
      <w:r w:rsidRPr="008140F8">
        <w:t xml:space="preserve"> </w:t>
      </w:r>
      <w:r w:rsidR="00AA3F0A">
        <w:t>A</w:t>
      </w:r>
      <w:r w:rsidRPr="008140F8">
        <w:t>sphalt-</w:t>
      </w:r>
      <w:r w:rsidR="00AA3F0A">
        <w:t>T</w:t>
      </w:r>
      <w:r w:rsidRPr="008140F8">
        <w:t xml:space="preserve">reated </w:t>
      </w:r>
      <w:r w:rsidR="00AA3F0A">
        <w:t>P</w:t>
      </w:r>
      <w:r w:rsidRPr="008140F8">
        <w:t xml:space="preserve">ermeable </w:t>
      </w:r>
      <w:r w:rsidR="00AA3F0A">
        <w:t>B</w:t>
      </w:r>
      <w:r w:rsidRPr="008140F8">
        <w:t>ase</w:t>
      </w:r>
      <w:r w:rsidR="00AA3F0A">
        <w:t>s</w:t>
      </w:r>
      <w:r w:rsidRPr="008140F8">
        <w:t>,</w:t>
      </w:r>
      <w:r w:rsidR="00AA3F0A">
        <w:t xml:space="preserve"> and P</w:t>
      </w:r>
      <w:r w:rsidRPr="008140F8">
        <w:t xml:space="preserve">orous </w:t>
      </w:r>
      <w:r w:rsidR="00AA3F0A">
        <w:t>A</w:t>
      </w:r>
      <w:r w:rsidRPr="008140F8">
        <w:t xml:space="preserve">sphalt </w:t>
      </w:r>
      <w:r w:rsidR="00AA3F0A">
        <w:t>S</w:t>
      </w:r>
      <w:r w:rsidRPr="008140F8">
        <w:t>urface</w:t>
      </w:r>
      <w:r w:rsidR="00AA3F0A">
        <w:t>s</w:t>
      </w:r>
      <w:bookmarkEnd w:id="79"/>
    </w:p>
    <w:p w:rsidR="00AB6CA2" w:rsidRDefault="006A28C7" w:rsidP="006F331D">
      <w:r>
        <w:t>This family of asphalt mixtures, although related, serves</w:t>
      </w:r>
      <w:r w:rsidR="00AB6CA2">
        <w:t xml:space="preserve"> very different purposes.  </w:t>
      </w:r>
      <w:r w:rsidR="00B66244">
        <w:t>A</w:t>
      </w:r>
      <w:r w:rsidR="00AB6CA2">
        <w:t xml:space="preserve">ll have the common feature of a very open, porous structure created by mainly using only the coarser aggregate fraction. </w:t>
      </w:r>
      <w:r w:rsidR="00AA3F0A">
        <w:t xml:space="preserve"> </w:t>
      </w:r>
      <w:r w:rsidR="00AB6CA2">
        <w:t xml:space="preserve">To prevent the binder from running down, a thickened mastic is created using mineral dust, fibers, polymers, and/or other materials. </w:t>
      </w:r>
      <w:r w:rsidR="00AA3F0A">
        <w:t xml:space="preserve"> </w:t>
      </w:r>
      <w:r w:rsidR="00AB6CA2">
        <w:t xml:space="preserve">The interconnected pore system allows water to flow through the mixture.  In the case of an open-graded friction course (also referred to as a porous friction course), a thin lift of open-graded </w:t>
      </w:r>
      <w:r w:rsidR="002D59F3">
        <w:t>asphalt</w:t>
      </w:r>
      <w:r w:rsidR="00AB6CA2">
        <w:t xml:space="preserve"> </w:t>
      </w:r>
      <w:r w:rsidR="002D59F3">
        <w:t xml:space="preserve">mixture </w:t>
      </w:r>
      <w:r w:rsidR="00AB6CA2">
        <w:t xml:space="preserve">is placed as the riding surface, providing </w:t>
      </w:r>
      <w:r>
        <w:t>improved</w:t>
      </w:r>
      <w:r w:rsidR="00AB6CA2">
        <w:t xml:space="preserve"> wet weather friction</w:t>
      </w:r>
      <w:r>
        <w:t xml:space="preserve"> properties</w:t>
      </w:r>
      <w:r w:rsidR="00AB6CA2">
        <w:t xml:space="preserve">, </w:t>
      </w:r>
      <w:r>
        <w:t>reducing the effects of splash and</w:t>
      </w:r>
      <w:r w:rsidR="00AB6CA2">
        <w:t xml:space="preserve"> spray, and </w:t>
      </w:r>
      <w:r>
        <w:t xml:space="preserve">providing </w:t>
      </w:r>
      <w:r w:rsidR="00AB6CA2">
        <w:t>a quiet</w:t>
      </w:r>
      <w:r>
        <w:t>er</w:t>
      </w:r>
      <w:r w:rsidR="00AB6CA2">
        <w:t xml:space="preserve"> riding surface.  Asphalt-treated permeable bases are open-graded cold-mix or </w:t>
      </w:r>
      <w:r w:rsidR="002D59F3">
        <w:t>asphalt mixture</w:t>
      </w:r>
      <w:r w:rsidR="00AB6CA2">
        <w:t xml:space="preserve"> placed beneath the surface layer (either asphalt or concrete) and are designed to drain infiltrating water.  Most often they are connected to a sub-surface drainage system, but may alternatively be “daylighted” directly to the ditch.  </w:t>
      </w:r>
      <w:r>
        <w:t>Porous asphalt pavements are</w:t>
      </w:r>
      <w:r w:rsidR="00AB6CA2">
        <w:t xml:space="preserve"> a relatively new development, designed to allow precipitation to percolate directly through the surface into the base/subgrade</w:t>
      </w:r>
      <w:r w:rsidR="003D2B4F">
        <w:t xml:space="preserve"> layers</w:t>
      </w:r>
      <w:r w:rsidR="00AB6CA2">
        <w:t xml:space="preserve">.  The underlying layers are designed to store infiltrating water, releasing it to the subgrade or into a specially design sub-surface drainage system.  Most often used in parking lots and alleyways, porous asphalt </w:t>
      </w:r>
      <w:r w:rsidR="004B41EE">
        <w:t>pavements are</w:t>
      </w:r>
      <w:r w:rsidR="00AB6CA2">
        <w:t xml:space="preserve"> increasingly being considered for shoulder applications on higher-volume roadways.</w:t>
      </w:r>
    </w:p>
    <w:p w:rsidR="00AB6CA2" w:rsidRPr="00BA3007" w:rsidRDefault="00AB6CA2" w:rsidP="00AB6CA2">
      <w:pPr>
        <w:adjustRightInd w:val="0"/>
        <w:rPr>
          <w:spacing w:val="-2"/>
        </w:rPr>
      </w:pPr>
    </w:p>
    <w:p w:rsidR="00AB6CA2" w:rsidRDefault="002D5AA4" w:rsidP="00E06139">
      <w:pPr>
        <w:pStyle w:val="Heading4"/>
      </w:pPr>
      <w:bookmarkStart w:id="80" w:name="_Toc295918631"/>
      <w:r>
        <w:t>S</w:t>
      </w:r>
      <w:r w:rsidR="00AB6CA2" w:rsidRPr="008140F8">
        <w:t xml:space="preserve">tone </w:t>
      </w:r>
      <w:r>
        <w:t>M</w:t>
      </w:r>
      <w:r w:rsidR="00AB6CA2" w:rsidRPr="008140F8">
        <w:t xml:space="preserve">atrix </w:t>
      </w:r>
      <w:r>
        <w:t>Asphalt</w:t>
      </w:r>
      <w:bookmarkEnd w:id="80"/>
      <w:r w:rsidR="004B41EE">
        <w:t xml:space="preserve"> Mixtures</w:t>
      </w:r>
    </w:p>
    <w:p w:rsidR="00AB6CA2" w:rsidRPr="00582B73" w:rsidRDefault="00AB6CA2" w:rsidP="006F331D">
      <w:pPr>
        <w:rPr>
          <w:color w:val="FF0000"/>
        </w:rPr>
      </w:pPr>
      <w:r>
        <w:t xml:space="preserve">SMA is a deformation resistant gap-graded </w:t>
      </w:r>
      <w:r w:rsidR="002D59F3">
        <w:t>asphalt mixture</w:t>
      </w:r>
      <w:r>
        <w:t xml:space="preserve"> specifically designed for high traffic applications.  The mixture is designed to maxim</w:t>
      </w:r>
      <w:r w:rsidR="003D2B4F">
        <w:t>ize the</w:t>
      </w:r>
      <w:r>
        <w:t xml:space="preserve"> aggregate-to-aggregate contact, thus transferring deformation from the binder to the aggregate.  As indicated, the aggregate gradation is gap-graded, typically consisting of a high quality coarse aggregate, manufactured sands, and mineral filler.  Due to the gap in the gradation, the asphalt binder content is typically 20 to 25 percent higher than for </w:t>
      </w:r>
      <w:r w:rsidR="002D59F3">
        <w:t>asphalt mixtures</w:t>
      </w:r>
      <w:r>
        <w:t xml:space="preserve">.  To maintain film thickness, the binder is often modified with polymers and/or fibers.  SMA surfaces are not only rut </w:t>
      </w:r>
      <w:r w:rsidR="00AA3F0A">
        <w:t>resistant;</w:t>
      </w:r>
      <w:r w:rsidR="003D2B4F">
        <w:t xml:space="preserve"> they also provide improved</w:t>
      </w:r>
      <w:r>
        <w:t xml:space="preserve"> wet weather skid resistance and lower tire noise.</w:t>
      </w:r>
      <w:r w:rsidR="00582B73">
        <w:t xml:space="preserve">  </w:t>
      </w:r>
      <w:r w:rsidR="00582B73" w:rsidRPr="00582B73">
        <w:rPr>
          <w:color w:val="FF0000"/>
        </w:rPr>
        <w:t xml:space="preserve">They also </w:t>
      </w:r>
      <w:r w:rsidR="00EF1751">
        <w:rPr>
          <w:color w:val="FF0000"/>
        </w:rPr>
        <w:t xml:space="preserve">help </w:t>
      </w:r>
      <w:r w:rsidR="00EF1751">
        <w:rPr>
          <w:color w:val="8064A2" w:themeColor="accent4"/>
        </w:rPr>
        <w:t xml:space="preserve">minimize the severity of </w:t>
      </w:r>
      <w:r w:rsidR="00582B73" w:rsidRPr="00582B73">
        <w:rPr>
          <w:color w:val="FF0000"/>
        </w:rPr>
        <w:t xml:space="preserve">joint </w:t>
      </w:r>
      <w:r w:rsidR="00EF1751">
        <w:rPr>
          <w:color w:val="8064A2" w:themeColor="accent4"/>
        </w:rPr>
        <w:t xml:space="preserve">and crack </w:t>
      </w:r>
      <w:r w:rsidR="00582B73" w:rsidRPr="00582B73">
        <w:rPr>
          <w:color w:val="FF0000"/>
        </w:rPr>
        <w:t>reflection cracking.</w:t>
      </w:r>
    </w:p>
    <w:p w:rsidR="00AB6CA2" w:rsidRPr="00E049B1" w:rsidRDefault="00AB6CA2" w:rsidP="00AB6CA2">
      <w:pPr>
        <w:adjustRightInd w:val="0"/>
        <w:rPr>
          <w:spacing w:val="-2"/>
        </w:rPr>
      </w:pPr>
    </w:p>
    <w:p w:rsidR="00AB6CA2" w:rsidRDefault="003D2B4F" w:rsidP="005433F3">
      <w:pPr>
        <w:pStyle w:val="Heading4"/>
      </w:pPr>
      <w:bookmarkStart w:id="81" w:name="_Toc295918632"/>
      <w:r>
        <w:t>Recycled Asphalt Pavement</w:t>
      </w:r>
      <w:bookmarkEnd w:id="81"/>
      <w:r w:rsidR="004D4658">
        <w:t xml:space="preserve"> and Full Depth Reclamation</w:t>
      </w:r>
    </w:p>
    <w:p w:rsidR="00277456" w:rsidRDefault="00AB6CA2" w:rsidP="006F331D">
      <w:r>
        <w:t>Recycled material</w:t>
      </w:r>
      <w:r w:rsidR="00A95134">
        <w:t xml:space="preserve"> </w:t>
      </w:r>
      <w:r w:rsidR="00A95134" w:rsidRPr="00A95134">
        <w:rPr>
          <w:color w:val="FF0000"/>
        </w:rPr>
        <w:t>(a waste product that is reintroduced back into the process that produced it)</w:t>
      </w:r>
      <w:r>
        <w:t xml:space="preserve"> has always been a part of asphalt </w:t>
      </w:r>
      <w:r w:rsidR="004B41EE">
        <w:t xml:space="preserve">pavement </w:t>
      </w:r>
      <w:r w:rsidR="00AA3F0A">
        <w:t>technology</w:t>
      </w:r>
      <w:r>
        <w:t xml:space="preserve"> and with the current emphasis on sustainability and environmental stewardship, this emphasis is only increasing.  Existing asphalt pavements can be recycled in a number of ways including in-place surface recycling, full-depth reclamation, in-plant recycling, and the use of recycled asphalt pavement (RAP) as aggregate in </w:t>
      </w:r>
      <w:r w:rsidR="002D59F3">
        <w:t>asphalt mixtures</w:t>
      </w:r>
      <w:r>
        <w:t xml:space="preserve">.  In-place surface recycling can use either hot or cold processes to remove part of the existing surface, rejuvenate it, add new material as needed, and relay it, all in one operation (single-unit or multi-unit operations).  This </w:t>
      </w:r>
      <w:r w:rsidRPr="00C15FD2">
        <w:rPr>
          <w:color w:val="000000" w:themeColor="text1"/>
        </w:rPr>
        <w:t>provide</w:t>
      </w:r>
      <w:r w:rsidR="00C15FD2">
        <w:rPr>
          <w:color w:val="7030A0"/>
        </w:rPr>
        <w:t>s</w:t>
      </w:r>
      <w:r>
        <w:t xml:space="preserve"> a new riding surface</w:t>
      </w:r>
      <w:r w:rsidR="00C15FD2">
        <w:rPr>
          <w:color w:val="8064A2" w:themeColor="accent4"/>
        </w:rPr>
        <w:t>,</w:t>
      </w:r>
      <w:r>
        <w:t xml:space="preserve"> but does not structurally improve the pavement.  </w:t>
      </w:r>
    </w:p>
    <w:p w:rsidR="00277456" w:rsidRDefault="00277456" w:rsidP="006F331D"/>
    <w:p w:rsidR="001D4C27" w:rsidRDefault="00277456" w:rsidP="006F331D">
      <w:r>
        <w:t>As</w:t>
      </w:r>
      <w:r w:rsidR="00AB6CA2">
        <w:t xml:space="preserve"> the name implies, full-depth reclamation recycles all of the surface and one or more of the supporting layers.  It can be done in-place using heavy equipment specially designed to pulverize the pavement to a depth of 12 </w:t>
      </w:r>
      <w:r w:rsidR="00DF35C4">
        <w:t>in.</w:t>
      </w:r>
      <w:r w:rsidR="00AB6CA2">
        <w:t xml:space="preserve"> or more, while adding desired modifiers such as fly ash, portland cement, asphalt emulsion</w:t>
      </w:r>
      <w:r w:rsidR="001D4C27">
        <w:t xml:space="preserve">, </w:t>
      </w:r>
      <w:r w:rsidR="001D4C27" w:rsidRPr="001D4C27">
        <w:rPr>
          <w:color w:val="FF0000"/>
        </w:rPr>
        <w:t>or foamed asphalt</w:t>
      </w:r>
      <w:r w:rsidR="00AB6CA2">
        <w:t xml:space="preserve">.  Once compacted and cured, the reclaimed material is often treated with a surface treatment or </w:t>
      </w:r>
      <w:r w:rsidR="002D59F3">
        <w:t>asphalt</w:t>
      </w:r>
      <w:r w:rsidR="00AB6CA2">
        <w:t xml:space="preserve"> surface.  Full-depth reclamation can also entail removing the surface and hot or cold recycling it off-site while reclaiming the underlying layers in-place.  </w:t>
      </w:r>
    </w:p>
    <w:p w:rsidR="001D4C27" w:rsidRDefault="001D4C27" w:rsidP="006F331D"/>
    <w:p w:rsidR="00AB6CA2" w:rsidRDefault="00AB6CA2" w:rsidP="006F331D">
      <w:r>
        <w:t>RAP is most often created through cold-milling an existing asphalt</w:t>
      </w:r>
      <w:r w:rsidR="004B41EE">
        <w:t xml:space="preserve"> pavement</w:t>
      </w:r>
      <w:r>
        <w:t xml:space="preserve"> surface, although it can also be produced from asphalt pavement that has been removed by other means and crushed.  RAP contains both aggregate and binder, and is thus valued as an addition to </w:t>
      </w:r>
      <w:r w:rsidR="002D59F3">
        <w:t>asphalt mixtures</w:t>
      </w:r>
      <w:r>
        <w:t xml:space="preserve"> and WMA, as well as for use as surface dressing for low-volume pavement applications.  Typically, the RAP content is limited in </w:t>
      </w:r>
      <w:r w:rsidR="002D59F3">
        <w:t>asphalt mixtures</w:t>
      </w:r>
      <w:r>
        <w:t xml:space="preserve"> due to environmental concerns regarding emissions from the drum mixer, a problem largely solved when WMA is being produced.  Concerns regarding accelerated aging of RAP containing mixtures</w:t>
      </w:r>
      <w:r w:rsidR="00E90D53">
        <w:t>,</w:t>
      </w:r>
      <w:r w:rsidR="00047A47">
        <w:t xml:space="preserve"> </w:t>
      </w:r>
      <w:r w:rsidR="00047A47" w:rsidRPr="00047A47">
        <w:rPr>
          <w:color w:val="FF0000"/>
        </w:rPr>
        <w:t>among other issues</w:t>
      </w:r>
      <w:r w:rsidR="00E90D53">
        <w:rPr>
          <w:color w:val="FF0000"/>
        </w:rPr>
        <w:t>,</w:t>
      </w:r>
      <w:r>
        <w:t xml:space="preserve"> also exist, and thus</w:t>
      </w:r>
      <w:r w:rsidR="00E90D53">
        <w:t>,</w:t>
      </w:r>
      <w:r>
        <w:t xml:space="preserve"> higher RAP contents are allowed </w:t>
      </w:r>
      <w:r w:rsidR="00E90D53">
        <w:rPr>
          <w:color w:val="7030A0"/>
        </w:rPr>
        <w:t xml:space="preserve">more often </w:t>
      </w:r>
      <w:r>
        <w:t>in base and binder mixtures than in surface mixtures.</w:t>
      </w:r>
    </w:p>
    <w:p w:rsidR="00AB6CA2" w:rsidRPr="00E049B1" w:rsidRDefault="00AB6CA2" w:rsidP="00AB6CA2">
      <w:pPr>
        <w:adjustRightInd w:val="0"/>
        <w:rPr>
          <w:spacing w:val="-2"/>
        </w:rPr>
      </w:pPr>
    </w:p>
    <w:p w:rsidR="006902B0" w:rsidRDefault="006902B0" w:rsidP="00E06139">
      <w:pPr>
        <w:pStyle w:val="Heading3"/>
      </w:pPr>
      <w:bookmarkStart w:id="82" w:name="_Toc295918633"/>
      <w:r>
        <w:t>Asphalt Mix</w:t>
      </w:r>
      <w:r w:rsidR="004B41EE">
        <w:t>ture</w:t>
      </w:r>
      <w:r>
        <w:t xml:space="preserve"> Test Methods</w:t>
      </w:r>
    </w:p>
    <w:p w:rsidR="006902B0" w:rsidRDefault="006902B0" w:rsidP="006902B0">
      <w:r>
        <w:t xml:space="preserve">A number of mechanical tests are used to determine the acceptability of an </w:t>
      </w:r>
      <w:r w:rsidR="002D59F3">
        <w:t>asphalt</w:t>
      </w:r>
      <w:r>
        <w:t xml:space="preserve"> mixture for a given application.  The volumetric mix design procedure previously described was originally envisioned as the first level in a three level mixture design process, in which Level 2 and 3 used intensive mixture testing to determine performance as relates to asphalt</w:t>
      </w:r>
      <w:r w:rsidR="004B41EE">
        <w:t xml:space="preserve"> pavement</w:t>
      </w:r>
      <w:r>
        <w:t xml:space="preserve"> rutting, fatigue cracking, and low temperature cracking.  The following describes several test</w:t>
      </w:r>
      <w:r w:rsidR="004B41EE">
        <w:t xml:space="preserve"> method</w:t>
      </w:r>
      <w:r>
        <w:t xml:space="preserve">s </w:t>
      </w:r>
      <w:r w:rsidR="004B41EE">
        <w:t>for</w:t>
      </w:r>
      <w:r>
        <w:t xml:space="preserve"> quantifying the asphalt mixture</w:t>
      </w:r>
      <w:r w:rsidR="004279F2">
        <w:t xml:space="preserve"> (</w:t>
      </w:r>
      <w:hyperlink r:id="rId45" w:history="1">
        <w:r w:rsidR="004279F2" w:rsidRPr="004279F2">
          <w:rPr>
            <w:rStyle w:val="Hyperlink"/>
          </w:rPr>
          <w:t>AAT 2011</w:t>
        </w:r>
      </w:hyperlink>
      <w:r w:rsidR="004279F2">
        <w:t>)</w:t>
      </w:r>
      <w:r>
        <w:t>.</w:t>
      </w:r>
    </w:p>
    <w:p w:rsidR="006902B0" w:rsidRDefault="006902B0" w:rsidP="006902B0"/>
    <w:p w:rsidR="004279F2" w:rsidRDefault="004279F2" w:rsidP="006902B0">
      <w:pPr>
        <w:pStyle w:val="Heading4"/>
      </w:pPr>
      <w:r>
        <w:t>Short- and Long-Term Oven Conditioning</w:t>
      </w:r>
    </w:p>
    <w:p w:rsidR="004279F2" w:rsidRDefault="004279F2" w:rsidP="004279F2">
      <w:pPr>
        <w:rPr>
          <w:i/>
        </w:rPr>
      </w:pPr>
      <w:r>
        <w:t xml:space="preserve">Oven conditioning simulates the effects of short- and long-term aging and is essential for conducting asphalt mixture performance </w:t>
      </w:r>
      <w:r w:rsidR="00204488">
        <w:t>tests.  Short-term oven conditioning</w:t>
      </w:r>
      <w:r>
        <w:t xml:space="preserve"> simulate</w:t>
      </w:r>
      <w:r w:rsidR="00F1040C">
        <w:t>s</w:t>
      </w:r>
      <w:r>
        <w:t xml:space="preserve"> the aging effects during asphalt mixture production and construction.  While long-term </w:t>
      </w:r>
      <w:r w:rsidR="00204488">
        <w:t>oven conditioning</w:t>
      </w:r>
      <w:r>
        <w:t xml:space="preserve"> simulates</w:t>
      </w:r>
      <w:r w:rsidR="00204488">
        <w:t xml:space="preserve"> the aging effects that occur over the in-service life of the asphalt pavement.  Samples evaluated for rutting potential receive short-term oven conditioning and samples evaluated for fatigue and </w:t>
      </w:r>
      <w:r w:rsidR="00F1040C">
        <w:t xml:space="preserve">thermal cracking receive long-term oven conditioning.  </w:t>
      </w:r>
      <w:r w:rsidR="00204488">
        <w:t xml:space="preserve">Both short- and long-term oven conditioning are conducted in accordance with </w:t>
      </w:r>
      <w:r>
        <w:t>AASHTO R 30</w:t>
      </w:r>
      <w:r w:rsidR="00204488">
        <w:t xml:space="preserve">, </w:t>
      </w:r>
      <w:r w:rsidR="00204488">
        <w:rPr>
          <w:i/>
        </w:rPr>
        <w:t>Standard Practice for Mixture Conditioning of Hot Mix Asphalt (HMA).</w:t>
      </w:r>
    </w:p>
    <w:p w:rsidR="00204488" w:rsidRDefault="00204488" w:rsidP="004279F2">
      <w:pPr>
        <w:rPr>
          <w:i/>
        </w:rPr>
      </w:pPr>
    </w:p>
    <w:p w:rsidR="006B5182" w:rsidRPr="004279F2" w:rsidRDefault="006B5182" w:rsidP="006B5182">
      <w:pPr>
        <w:pStyle w:val="Heading4"/>
        <w:rPr>
          <w:spacing w:val="-2"/>
        </w:rPr>
      </w:pPr>
      <w:r>
        <w:t>Moisture Sensitivity Testing</w:t>
      </w:r>
    </w:p>
    <w:p w:rsidR="006B5182" w:rsidRDefault="006B5182" w:rsidP="006B5182">
      <w:r>
        <w:t xml:space="preserve">Moisture sensitivity of the asphalt mixture can be evaluated using either the Modified Lottman Procedure (AASHTO T 283, </w:t>
      </w:r>
      <w:r w:rsidRPr="0011434A">
        <w:rPr>
          <w:i/>
        </w:rPr>
        <w:t>Standard Method of Test for Resistance of Compacted Hot Mix Asphalt (HMA) to Moisture-Induced Damage</w:t>
      </w:r>
      <w:r w:rsidRPr="006B5182">
        <w:t>)</w:t>
      </w:r>
      <w:r>
        <w:t xml:space="preserve"> and/or the Hamburg Wheel-Tracking Test (AASHTO T 324, </w:t>
      </w:r>
      <w:r w:rsidRPr="006B5182">
        <w:rPr>
          <w:i/>
        </w:rPr>
        <w:t>Standard Method of Test for Hamburg Wheel-Track Testing of Compacted Hot Mix Asphalt (HMA)</w:t>
      </w:r>
      <w:r w:rsidRPr="006B5182">
        <w:t>).</w:t>
      </w:r>
      <w:r w:rsidR="00391A5B">
        <w:t xml:space="preserve">  The Modified Lottman Procedure subjects </w:t>
      </w:r>
      <w:r w:rsidR="00FE0661" w:rsidRPr="00FE0661">
        <w:rPr>
          <w:color w:val="FF0000"/>
        </w:rPr>
        <w:t>three out of six</w:t>
      </w:r>
      <w:r w:rsidR="00391A5B">
        <w:t xml:space="preserve"> samples of the asphalt mixture to freezing and thawing cycles and a warm water soak prior to testing.  Moisture sensitivity using the Modified Lottman Procedure is based on the ratio of the average tensile strength of the conditioned to unconditioned samples and a visual assessment of stripping (</w:t>
      </w:r>
      <w:hyperlink r:id="rId46" w:history="1">
        <w:r w:rsidR="00391A5B" w:rsidRPr="004279F2">
          <w:rPr>
            <w:rStyle w:val="Hyperlink"/>
          </w:rPr>
          <w:t>AAT 2011</w:t>
        </w:r>
      </w:hyperlink>
      <w:r w:rsidR="00391A5B">
        <w:t>).  For the Hamburg Wheel-Tracking tests, asphalt mixture samples are submerged in water during testing.  Moisture sensitivity with the Hamburg Wheel-Tracking test is based on computing the stripping inflection point (slope intersection of the creep and stripping portions of the rut depth versus number of wheel passes) (</w:t>
      </w:r>
      <w:hyperlink r:id="rId47" w:history="1">
        <w:r w:rsidR="00391A5B" w:rsidRPr="004279F2">
          <w:rPr>
            <w:rStyle w:val="Hyperlink"/>
          </w:rPr>
          <w:t>AAT 2011</w:t>
        </w:r>
      </w:hyperlink>
      <w:r w:rsidR="00391A5B">
        <w:t>)</w:t>
      </w:r>
      <w:r w:rsidR="00AF1765">
        <w:t>s</w:t>
      </w:r>
      <w:r w:rsidR="00391A5B">
        <w:t>.</w:t>
      </w:r>
    </w:p>
    <w:p w:rsidR="006B5182" w:rsidRPr="004279F2" w:rsidRDefault="006B5182" w:rsidP="006B5182"/>
    <w:p w:rsidR="006902B0" w:rsidRDefault="00F1040C" w:rsidP="006902B0">
      <w:pPr>
        <w:pStyle w:val="Heading4"/>
      </w:pPr>
      <w:r>
        <w:t xml:space="preserve">Low-Temperature </w:t>
      </w:r>
      <w:r w:rsidR="006902B0">
        <w:t>Indirect Tensile Strength</w:t>
      </w:r>
      <w:r w:rsidR="004279F2">
        <w:t xml:space="preserve"> Test</w:t>
      </w:r>
    </w:p>
    <w:p w:rsidR="006902B0" w:rsidRDefault="006B5182" w:rsidP="006B5182">
      <w:r>
        <w:t>Evaluation of an asphalt mixtures resistance to thermal cracking is evaluated using the low-temperature indirect tensile strength test.  Testing i</w:t>
      </w:r>
      <w:r w:rsidR="006902B0">
        <w:t xml:space="preserve">s conducted in accordance with </w:t>
      </w:r>
      <w:r>
        <w:t>AASHTO T 322</w:t>
      </w:r>
      <w:r w:rsidR="006902B0">
        <w:t xml:space="preserve">, </w:t>
      </w:r>
      <w:r w:rsidRPr="006B5182">
        <w:rPr>
          <w:i/>
        </w:rPr>
        <w:t>Standard Method of Test for Determining the Creep Compliance and Strength of Hot Mix Asphalt (HMA) Using the Indirect Tensile Test Device</w:t>
      </w:r>
      <w:r w:rsidR="006902B0">
        <w:t xml:space="preserve">.  </w:t>
      </w:r>
      <w:r>
        <w:t>Samples for this test procedure are cored from the middle of a gyratory-compacted specimen and sawed for attachment to the testing apparatus.  Samples are exposed to long-term oven conditioning.  This test procedure requires an expensive environmental chamber; therefore, only a few United States laboratories currently conduct this test (</w:t>
      </w:r>
      <w:hyperlink r:id="rId48" w:history="1">
        <w:r w:rsidRPr="004279F2">
          <w:rPr>
            <w:rStyle w:val="Hyperlink"/>
          </w:rPr>
          <w:t>AAT 2011</w:t>
        </w:r>
      </w:hyperlink>
      <w:r>
        <w:t>).</w:t>
      </w:r>
    </w:p>
    <w:p w:rsidR="004279F2" w:rsidRDefault="004279F2" w:rsidP="006902B0"/>
    <w:p w:rsidR="004279F2" w:rsidRDefault="004279F2" w:rsidP="00F1040C">
      <w:pPr>
        <w:pStyle w:val="Heading4"/>
      </w:pPr>
      <w:r>
        <w:t>High</w:t>
      </w:r>
      <w:r w:rsidR="00F1040C">
        <w:t>-T</w:t>
      </w:r>
      <w:r>
        <w:t>emperature</w:t>
      </w:r>
      <w:r w:rsidR="00F1040C">
        <w:t xml:space="preserve"> Indirect Tensile Strength Test</w:t>
      </w:r>
    </w:p>
    <w:p w:rsidR="004279F2" w:rsidRPr="0011434A" w:rsidRDefault="00F1040C" w:rsidP="006902B0">
      <w:r>
        <w:t xml:space="preserve">This test is conducted </w:t>
      </w:r>
      <w:r w:rsidR="0011434A" w:rsidRPr="00E527F6">
        <w:rPr>
          <w:color w:val="FF0000"/>
        </w:rPr>
        <w:t>to</w:t>
      </w:r>
      <w:r w:rsidRPr="00E527F6">
        <w:rPr>
          <w:color w:val="FF0000"/>
        </w:rPr>
        <w:t xml:space="preserve"> evaluat</w:t>
      </w:r>
      <w:r w:rsidR="0011434A" w:rsidRPr="00E527F6">
        <w:rPr>
          <w:color w:val="FF0000"/>
        </w:rPr>
        <w:t>e</w:t>
      </w:r>
      <w:r w:rsidRPr="00E527F6">
        <w:rPr>
          <w:color w:val="FF0000"/>
        </w:rPr>
        <w:t xml:space="preserve"> the </w:t>
      </w:r>
      <w:r w:rsidR="00E527F6" w:rsidRPr="00E527F6">
        <w:rPr>
          <w:color w:val="FF0000"/>
        </w:rPr>
        <w:t>long term stripping susceptibility of the asphalt concrete</w:t>
      </w:r>
      <w:r w:rsidRPr="00E527F6">
        <w:rPr>
          <w:color w:val="FF0000"/>
        </w:rPr>
        <w:t>.</w:t>
      </w:r>
      <w:r>
        <w:t xml:space="preserve">  Testing is conducted using standard gyratory compactor prepared samples that h</w:t>
      </w:r>
      <w:r w:rsidR="0011434A">
        <w:t xml:space="preserve">ave received short-term aging.  Testing is conducted using the indirect tensile strength equipment specified in AASHTO T 283, </w:t>
      </w:r>
      <w:r w:rsidR="0011434A" w:rsidRPr="0011434A">
        <w:rPr>
          <w:i/>
        </w:rPr>
        <w:t>Standard Method of Test for Resistance of Compacted Hot Mix Asphalt (HMA) to Moisture-Induced Damage</w:t>
      </w:r>
      <w:r w:rsidR="0011434A">
        <w:rPr>
          <w:i/>
        </w:rPr>
        <w:t>.</w:t>
      </w:r>
    </w:p>
    <w:p w:rsidR="0011434A" w:rsidRDefault="0011434A" w:rsidP="006902B0"/>
    <w:p w:rsidR="006902B0" w:rsidRDefault="006902B0" w:rsidP="006902B0">
      <w:pPr>
        <w:pStyle w:val="Heading4"/>
      </w:pPr>
      <w:r>
        <w:t>Flexural Fatigue</w:t>
      </w:r>
      <w:r w:rsidR="004279F2">
        <w:t xml:space="preserve"> Test</w:t>
      </w:r>
    </w:p>
    <w:p w:rsidR="006902B0" w:rsidRDefault="00AF1765" w:rsidP="006902B0">
      <w:r>
        <w:t>Asphalt mixture b</w:t>
      </w:r>
      <w:r w:rsidR="006902B0">
        <w:t>eam</w:t>
      </w:r>
      <w:r>
        <w:t>s</w:t>
      </w:r>
      <w:r w:rsidR="006902B0">
        <w:t xml:space="preserve"> compacted</w:t>
      </w:r>
      <w:r>
        <w:t xml:space="preserve"> using a kneading or rolling wheel compaction apparatus </w:t>
      </w:r>
      <w:r w:rsidR="006902B0">
        <w:t xml:space="preserve">are tested for fatigue in accordance with AASHTO T 321, </w:t>
      </w:r>
      <w:r w:rsidR="006902B0" w:rsidRPr="004B41EE">
        <w:rPr>
          <w:i/>
        </w:rPr>
        <w:t>Standard Method of Test for Determining the Fatigue Life of Compacted Hot-Mix Asphalt (HMA) Subjected to Repeated Flexural Bending</w:t>
      </w:r>
      <w:r w:rsidR="006902B0">
        <w:t xml:space="preserve">.  </w:t>
      </w:r>
      <w:r>
        <w:t xml:space="preserve">The flexural fatigue test is used to determine the fatigue endurance limit of the asphalt mixture and is therefore </w:t>
      </w:r>
      <w:r w:rsidR="006902B0">
        <w:t>used in fatigue models to predict fatigue cracking in pavements.</w:t>
      </w:r>
    </w:p>
    <w:p w:rsidR="006902B0" w:rsidRDefault="006902B0" w:rsidP="006902B0"/>
    <w:p w:rsidR="006902B0" w:rsidRDefault="006902B0" w:rsidP="006902B0">
      <w:pPr>
        <w:pStyle w:val="Heading4"/>
      </w:pPr>
      <w:r>
        <w:t>Asphalt Mix</w:t>
      </w:r>
      <w:r w:rsidR="004B41EE">
        <w:t>ture</w:t>
      </w:r>
      <w:r>
        <w:t xml:space="preserve"> Performance Test (AMPT)</w:t>
      </w:r>
    </w:p>
    <w:p w:rsidR="006902B0" w:rsidRPr="000549BC" w:rsidRDefault="000549BC" w:rsidP="000549BC">
      <w:r>
        <w:t>The AMPT is a c</w:t>
      </w:r>
      <w:r w:rsidR="006902B0">
        <w:t>omputer–controlled hydraulic testing machine that applies a cyclic loading to a compacted asphalt mixture specimen over a range of temperatures and frequencies</w:t>
      </w:r>
      <w:r>
        <w:t xml:space="preserve"> (</w:t>
      </w:r>
      <w:hyperlink r:id="rId49" w:history="1">
        <w:r w:rsidRPr="000549BC">
          <w:rPr>
            <w:rStyle w:val="Hyperlink"/>
          </w:rPr>
          <w:t>Bonaquist, Christensen, and Stump 2003</w:t>
        </w:r>
      </w:hyperlink>
      <w:r>
        <w:t>)</w:t>
      </w:r>
      <w:r w:rsidR="006902B0">
        <w:t>.</w:t>
      </w:r>
      <w:r w:rsidR="00D91B6B">
        <w:t xml:space="preserve">  This test </w:t>
      </w:r>
      <w:r w:rsidR="004279F2">
        <w:t xml:space="preserve">method </w:t>
      </w:r>
      <w:r w:rsidR="00D91B6B">
        <w:t xml:space="preserve">evaluates the </w:t>
      </w:r>
      <w:r w:rsidR="004279F2">
        <w:t>mixtures resistance to rutting and measures the dynamic modulus of the asphalt mixture</w:t>
      </w:r>
      <w:r w:rsidR="00AF1765">
        <w:t xml:space="preserve"> (</w:t>
      </w:r>
      <w:hyperlink r:id="rId50" w:history="1">
        <w:r w:rsidR="00AF1765" w:rsidRPr="00AF1765">
          <w:rPr>
            <w:rStyle w:val="Hyperlink"/>
          </w:rPr>
          <w:t>Witczak 2007</w:t>
        </w:r>
      </w:hyperlink>
      <w:r w:rsidR="00AF1765">
        <w:t>)</w:t>
      </w:r>
      <w:r w:rsidR="004279F2">
        <w:t>.</w:t>
      </w:r>
      <w:r>
        <w:t xml:space="preserve">  The AMPT uses the dynamic modulus test, the flow number test, or the flow time test to evaluate the asphalt mixtures resistance to rutting.  Testing is conducted in accordance with AASHTO TP 79, </w:t>
      </w:r>
      <w:r w:rsidRPr="000549BC">
        <w:rPr>
          <w:i/>
        </w:rPr>
        <w:t>Determining the Dynamic</w:t>
      </w:r>
      <w:r>
        <w:rPr>
          <w:i/>
        </w:rPr>
        <w:t xml:space="preserve"> </w:t>
      </w:r>
      <w:r w:rsidRPr="000549BC">
        <w:rPr>
          <w:i/>
        </w:rPr>
        <w:t>Modulus and Flow Number for Hot Mix Asphalt (HMA) Using the Asphalt Mixture Performance</w:t>
      </w:r>
      <w:r>
        <w:rPr>
          <w:i/>
        </w:rPr>
        <w:t xml:space="preserve"> </w:t>
      </w:r>
      <w:r w:rsidRPr="000549BC">
        <w:rPr>
          <w:i/>
        </w:rPr>
        <w:t>Tester (AMPT)</w:t>
      </w:r>
      <w:r>
        <w:t>.</w:t>
      </w:r>
    </w:p>
    <w:p w:rsidR="006902B0" w:rsidRDefault="006902B0" w:rsidP="006902B0">
      <w:pPr>
        <w:rPr>
          <w:spacing w:val="-2"/>
        </w:rPr>
      </w:pPr>
    </w:p>
    <w:p w:rsidR="000549BC" w:rsidRDefault="000549BC" w:rsidP="006902B0">
      <w:pPr>
        <w:rPr>
          <w:spacing w:val="-2"/>
        </w:rPr>
      </w:pPr>
      <w:r>
        <w:rPr>
          <w:spacing w:val="-2"/>
        </w:rPr>
        <w:t>Combining the dynamic modulus test results at different temperature and loading frequencies allows for the development of the asphalt mixture master curve which is the primary</w:t>
      </w:r>
      <w:r w:rsidR="00151B75">
        <w:rPr>
          <w:spacing w:val="-2"/>
        </w:rPr>
        <w:t xml:space="preserve"> asphalt</w:t>
      </w:r>
      <w:r>
        <w:rPr>
          <w:spacing w:val="-2"/>
        </w:rPr>
        <w:t xml:space="preserve"> materials input </w:t>
      </w:r>
      <w:r w:rsidR="00151B75">
        <w:rPr>
          <w:spacing w:val="-2"/>
        </w:rPr>
        <w:t>for the AASHTO MEPDG</w:t>
      </w:r>
      <w:r w:rsidR="007F750A">
        <w:rPr>
          <w:spacing w:val="-2"/>
        </w:rPr>
        <w:t xml:space="preserve"> (AASHTO 2008)</w:t>
      </w:r>
      <w:r w:rsidR="00151B75">
        <w:rPr>
          <w:spacing w:val="-2"/>
        </w:rPr>
        <w:t>.</w:t>
      </w:r>
    </w:p>
    <w:p w:rsidR="00151B75" w:rsidRDefault="00151B75" w:rsidP="006902B0">
      <w:pPr>
        <w:rPr>
          <w:spacing w:val="-2"/>
        </w:rPr>
      </w:pPr>
    </w:p>
    <w:p w:rsidR="00151B75" w:rsidRDefault="00151B75" w:rsidP="006902B0">
      <w:pPr>
        <w:rPr>
          <w:spacing w:val="-2"/>
        </w:rPr>
      </w:pPr>
      <w:r>
        <w:rPr>
          <w:spacing w:val="-2"/>
        </w:rPr>
        <w:t>The flow number is used in the evaluation of rutting resistance and evaluates the mixture at high temperature when subjected to repeated compressive stress pulses.  The flow number is defined when the rate of permanent strain reaches a minimum value.  Increases in flow number relate to increases in the asphalt mixtures resistance to rutting.</w:t>
      </w:r>
      <w:r w:rsidR="00047A47">
        <w:rPr>
          <w:spacing w:val="-2"/>
        </w:rPr>
        <w:t xml:space="preserve"> </w:t>
      </w:r>
      <w:r>
        <w:rPr>
          <w:spacing w:val="-2"/>
        </w:rPr>
        <w:t>As with flow number, flow time is used to evaluate an asphalt mixture</w:t>
      </w:r>
      <w:r w:rsidR="00FE0661">
        <w:rPr>
          <w:spacing w:val="-2"/>
        </w:rPr>
        <w:t>’</w:t>
      </w:r>
      <w:r>
        <w:rPr>
          <w:spacing w:val="-2"/>
        </w:rPr>
        <w:t xml:space="preserve">s resistance to rutting.  However, the flow number </w:t>
      </w:r>
      <w:r w:rsidR="0069112D" w:rsidRPr="0069112D">
        <w:rPr>
          <w:color w:val="FF0000"/>
          <w:spacing w:val="-2"/>
        </w:rPr>
        <w:t>applies</w:t>
      </w:r>
      <w:r>
        <w:rPr>
          <w:spacing w:val="-2"/>
        </w:rPr>
        <w:t xml:space="preserve"> a constant load </w:t>
      </w:r>
      <w:r w:rsidR="0069112D">
        <w:rPr>
          <w:spacing w:val="-2"/>
        </w:rPr>
        <w:t>to</w:t>
      </w:r>
      <w:r>
        <w:rPr>
          <w:spacing w:val="-2"/>
        </w:rPr>
        <w:t xml:space="preserve"> the asphalt mixture sample.  The flow time is defined as the time required for the asphalt mixture sample to initiate tertiary creep.</w:t>
      </w:r>
    </w:p>
    <w:p w:rsidR="00151B75" w:rsidRPr="00150E02" w:rsidRDefault="00151B75" w:rsidP="006902B0">
      <w:pPr>
        <w:rPr>
          <w:spacing w:val="-2"/>
        </w:rPr>
      </w:pPr>
    </w:p>
    <w:p w:rsidR="006902B0" w:rsidRPr="004279F2" w:rsidRDefault="004279F2" w:rsidP="006902B0">
      <w:pPr>
        <w:pStyle w:val="Heading4"/>
        <w:rPr>
          <w:spacing w:val="-2"/>
        </w:rPr>
      </w:pPr>
      <w:r w:rsidRPr="004279F2">
        <w:t>Superpave Shear Tester</w:t>
      </w:r>
    </w:p>
    <w:p w:rsidR="006902B0" w:rsidRPr="00FB18E6" w:rsidRDefault="00151B75" w:rsidP="006902B0">
      <w:r>
        <w:t xml:space="preserve">The Superpave Shear Tester is used to evaluate </w:t>
      </w:r>
      <w:r w:rsidR="00FB18E6">
        <w:t xml:space="preserve">the rut resistance of </w:t>
      </w:r>
      <w:r>
        <w:t>an asphalt mixture using the repeated shear at constant height test</w:t>
      </w:r>
      <w:r w:rsidR="00FB18E6">
        <w:t>.  Testing is conducted</w:t>
      </w:r>
      <w:r>
        <w:t xml:space="preserve"> in accordance with </w:t>
      </w:r>
      <w:r w:rsidR="004279F2" w:rsidRPr="004279F2">
        <w:t>AASHTO T</w:t>
      </w:r>
      <w:r w:rsidR="004279F2">
        <w:t xml:space="preserve"> </w:t>
      </w:r>
      <w:r w:rsidR="004279F2" w:rsidRPr="004279F2">
        <w:t>320</w:t>
      </w:r>
      <w:r>
        <w:t xml:space="preserve">, </w:t>
      </w:r>
      <w:r w:rsidRPr="00FB18E6">
        <w:rPr>
          <w:i/>
        </w:rPr>
        <w:t>Standard Method of Test for Determining the Permanent Shear Strain and Stiffness of Asphalt Mixtures Using the Superpave Shear Tester (SST)</w:t>
      </w:r>
      <w:r w:rsidR="00FB18E6">
        <w:t>.  The Superpave Shear Tester is a complicated and expensive piece of equipment and can be difficult to conduct the required testing.  Therefore, this equipment is typically purchased and operated at research-based facilities (</w:t>
      </w:r>
      <w:hyperlink r:id="rId51" w:history="1">
        <w:r w:rsidR="00FB18E6" w:rsidRPr="004279F2">
          <w:rPr>
            <w:rStyle w:val="Hyperlink"/>
          </w:rPr>
          <w:t>AAT 2011</w:t>
        </w:r>
      </w:hyperlink>
      <w:r w:rsidR="00FB18E6">
        <w:t>).</w:t>
      </w:r>
    </w:p>
    <w:p w:rsidR="004279F2" w:rsidRDefault="004279F2" w:rsidP="006902B0">
      <w:pPr>
        <w:rPr>
          <w:noProof/>
        </w:rPr>
      </w:pPr>
    </w:p>
    <w:p w:rsidR="006902B0" w:rsidRDefault="006902B0" w:rsidP="006902B0">
      <w:pPr>
        <w:pStyle w:val="Heading4"/>
      </w:pPr>
      <w:r>
        <w:t>Asphalt Pavement Analyzer</w:t>
      </w:r>
    </w:p>
    <w:p w:rsidR="006902B0" w:rsidRDefault="00FB18E6" w:rsidP="006902B0">
      <w:r>
        <w:t>The Asphalt Pavement Analyzer is a proof test for rut resistance.  The Asphalt Pavement Analyzer is an</w:t>
      </w:r>
      <w:r w:rsidR="006902B0">
        <w:t xml:space="preserve"> empirical test method described under AASHTO </w:t>
      </w:r>
      <w:r w:rsidR="00FE0661">
        <w:t>T 340</w:t>
      </w:r>
      <w:r w:rsidR="006902B0">
        <w:t xml:space="preserve">, </w:t>
      </w:r>
      <w:r w:rsidR="006902B0" w:rsidRPr="004B41EE">
        <w:rPr>
          <w:i/>
        </w:rPr>
        <w:t>Standard Method of Test for Determining the Rutting Susceptibility of Hot Mix Asphalt (HMA) Using the Asphalt Pavement Analyzer (APA)</w:t>
      </w:r>
      <w:r w:rsidR="006902B0">
        <w:t xml:space="preserve">.  </w:t>
      </w:r>
      <w:r>
        <w:t>This test includes the application of a load applied through a rubber hose that is inflated to a specified pressure.  This test is co</w:t>
      </w:r>
      <w:r w:rsidR="006902B0">
        <w:t xml:space="preserve">mmonly used </w:t>
      </w:r>
      <w:r>
        <w:t>on</w:t>
      </w:r>
      <w:r w:rsidR="006902B0">
        <w:t xml:space="preserve"> mixtures prepared using the Superpave gyratory compactor.</w:t>
      </w:r>
      <w:r w:rsidR="00FE0661">
        <w:t xml:space="preserve"> </w:t>
      </w:r>
      <w:r w:rsidR="00FE0661" w:rsidRPr="00FE0661">
        <w:rPr>
          <w:color w:val="FF0000"/>
        </w:rPr>
        <w:t>The Hamburg test is also used to test rut resistance</w:t>
      </w:r>
      <w:r w:rsidR="00FE0661">
        <w:t>.</w:t>
      </w:r>
    </w:p>
    <w:p w:rsidR="006902B0" w:rsidRDefault="006902B0" w:rsidP="006902B0"/>
    <w:p w:rsidR="00AB6CA2" w:rsidRDefault="00266D9B" w:rsidP="00E06139">
      <w:pPr>
        <w:pStyle w:val="Heading3"/>
      </w:pPr>
      <w:r>
        <w:t xml:space="preserve">Asphalt </w:t>
      </w:r>
      <w:r w:rsidR="00AB6CA2">
        <w:t>Mix</w:t>
      </w:r>
      <w:r w:rsidR="004B41EE">
        <w:t>ture</w:t>
      </w:r>
      <w:r w:rsidR="00AB6CA2">
        <w:t xml:space="preserve"> </w:t>
      </w:r>
      <w:r w:rsidR="005433F3">
        <w:t>D</w:t>
      </w:r>
      <w:r w:rsidR="00AB6CA2" w:rsidRPr="00EA3F88">
        <w:t>esign</w:t>
      </w:r>
      <w:bookmarkEnd w:id="82"/>
    </w:p>
    <w:p w:rsidR="00AB6CA2" w:rsidRDefault="00AB6CA2" w:rsidP="006F331D">
      <w:r>
        <w:t xml:space="preserve">Over the years, a number of mix design procedures have been used to determine the binder content given the binder type and aggregate structure.  These include the Marshall mixture design method and the Hveem method.  The Marshall method was developed by Bruce Marshall of the </w:t>
      </w:r>
      <w:r w:rsidR="00DA2F11">
        <w:t>Mississippi</w:t>
      </w:r>
      <w:r>
        <w:t xml:space="preserve"> Highway Department around 1939, and was the most popular method in the Eastern part of the United States, as well as by the Federal Aviation Administration.  The Hveem method was developed by Francis Hveem of the California Division of Highways in the 1920’s and 1930’s, and was the predominant method used in the Western part of the United States.  Although empirical in nature, both methods were effectively used to design </w:t>
      </w:r>
      <w:r w:rsidR="002D59F3">
        <w:t>asphalt</w:t>
      </w:r>
      <w:r>
        <w:t xml:space="preserve"> mixtures for many decades, slowly being replaced by the Superpave method which was developed in the 1980’s.  As most transportation agencies are now using Superpave mix design, it will be </w:t>
      </w:r>
      <w:r w:rsidR="002E23D6">
        <w:t>the focus of the following discussion.</w:t>
      </w:r>
    </w:p>
    <w:p w:rsidR="00AB6CA2" w:rsidRPr="00EA3F88" w:rsidRDefault="00AB6CA2" w:rsidP="00AB6CA2">
      <w:pPr>
        <w:adjustRightInd w:val="0"/>
        <w:rPr>
          <w:spacing w:val="-2"/>
        </w:rPr>
      </w:pPr>
    </w:p>
    <w:p w:rsidR="00AB6CA2" w:rsidRDefault="00B808F4" w:rsidP="00E06139">
      <w:pPr>
        <w:pStyle w:val="Heading4"/>
      </w:pPr>
      <w:bookmarkStart w:id="83" w:name="_Toc295918634"/>
      <w:r>
        <w:t>V</w:t>
      </w:r>
      <w:r w:rsidR="00AB6CA2">
        <w:t>olumetrics</w:t>
      </w:r>
      <w:bookmarkEnd w:id="83"/>
    </w:p>
    <w:p w:rsidR="00AB6CA2" w:rsidRDefault="00AB6CA2" w:rsidP="006F331D">
      <w:r>
        <w:t xml:space="preserve">All </w:t>
      </w:r>
      <w:r w:rsidR="002D59F3">
        <w:t>asphalt</w:t>
      </w:r>
      <w:r>
        <w:t xml:space="preserve"> mix design procedures are based on laboratory testing in which asphalt mixtures are mixed and compacted in the laboratory at various asphalt </w:t>
      </w:r>
      <w:r w:rsidR="004B41EE">
        <w:t xml:space="preserve">binder </w:t>
      </w:r>
      <w:r>
        <w:t>contents.  The mixture volumetrics, including density and air voids, are then assessed to select the design asphalt</w:t>
      </w:r>
      <w:r w:rsidR="004B41EE">
        <w:t xml:space="preserve"> binder</w:t>
      </w:r>
      <w:r>
        <w:t xml:space="preserve"> content.  </w:t>
      </w:r>
      <w:r w:rsidR="0045477F">
        <w:t>V</w:t>
      </w:r>
      <w:r>
        <w:t xml:space="preserve">olumetrics refers to the relationship between the volume and mass of the various mixture components (aggregate, binder, and air), as illustrated in the phase diagram presented in </w:t>
      </w:r>
      <w:r w:rsidR="00AA7638">
        <w:t>Figure 3-13.</w:t>
      </w:r>
      <w:r>
        <w:t xml:space="preserve">  Key mixture parameters that are calculated include the percent air voids, also called the voids in total mix (VTM), voids in the mineral aggregate (VMA), and the voids filled with asphalt (VFA), calculated as follows:</w:t>
      </w:r>
    </w:p>
    <w:p w:rsidR="00AB6CA2" w:rsidRDefault="00AB6CA2" w:rsidP="0045477F"/>
    <w:p w:rsidR="00AB6CA2" w:rsidRPr="0045477F" w:rsidRDefault="0045477F" w:rsidP="001A558D">
      <w:pPr>
        <w:tabs>
          <w:tab w:val="center" w:pos="4680"/>
          <w:tab w:val="right" w:pos="9360"/>
        </w:tabs>
        <w:spacing w:before="20" w:after="20"/>
        <w:rPr>
          <w:rFonts w:eastAsiaTheme="minorEastAsia"/>
          <w:szCs w:val="24"/>
        </w:rPr>
      </w:pPr>
      <w:r>
        <w:rPr>
          <w:szCs w:val="24"/>
        </w:rPr>
        <w:tab/>
      </w:r>
      <m:oMath>
        <m:r>
          <w:rPr>
            <w:rFonts w:ascii="Cambria Math" w:eastAsiaTheme="minorEastAsia" w:hAnsi="Cambria Math" w:cstheme="minorBidi"/>
            <w:szCs w:val="24"/>
          </w:rPr>
          <m:t xml:space="preserve">VTM= </m:t>
        </m:r>
        <m:f>
          <m:fPr>
            <m:ctrlPr>
              <w:rPr>
                <w:rFonts w:ascii="Cambria Math" w:eastAsiaTheme="minorEastAsia" w:hAnsi="Cambria Math" w:cstheme="minorBidi"/>
                <w:i/>
                <w:szCs w:val="24"/>
              </w:rPr>
            </m:ctrlPr>
          </m:fPr>
          <m:num>
            <m:sSub>
              <m:sSubPr>
                <m:ctrlPr>
                  <w:rPr>
                    <w:rFonts w:ascii="Cambria Math" w:eastAsiaTheme="minorEastAsia" w:hAnsi="Cambria Math" w:cstheme="minorBidi"/>
                    <w:i/>
                    <w:szCs w:val="24"/>
                  </w:rPr>
                </m:ctrlPr>
              </m:sSubPr>
              <m:e>
                <m:r>
                  <w:rPr>
                    <w:rFonts w:ascii="Cambria Math" w:eastAsiaTheme="minorEastAsia" w:hAnsi="Cambria Math" w:cstheme="minorBidi"/>
                    <w:szCs w:val="24"/>
                  </w:rPr>
                  <m:t>V</m:t>
                </m:r>
              </m:e>
              <m:sub>
                <m:r>
                  <w:rPr>
                    <w:rFonts w:ascii="Cambria Math" w:eastAsiaTheme="minorEastAsia" w:hAnsi="Cambria Math" w:cstheme="minorBidi"/>
                    <w:szCs w:val="24"/>
                  </w:rPr>
                  <m:t>a</m:t>
                </m:r>
              </m:sub>
            </m:sSub>
          </m:num>
          <m:den>
            <m:sSub>
              <m:sSubPr>
                <m:ctrlPr>
                  <w:rPr>
                    <w:rFonts w:ascii="Cambria Math" w:eastAsiaTheme="minorEastAsia" w:hAnsi="Cambria Math" w:cstheme="minorBidi"/>
                    <w:i/>
                    <w:szCs w:val="24"/>
                  </w:rPr>
                </m:ctrlPr>
              </m:sSubPr>
              <m:e>
                <m:r>
                  <w:rPr>
                    <w:rFonts w:ascii="Cambria Math" w:eastAsiaTheme="minorEastAsia" w:hAnsi="Cambria Math" w:cstheme="minorBidi"/>
                    <w:szCs w:val="24"/>
                  </w:rPr>
                  <m:t>V</m:t>
                </m:r>
              </m:e>
              <m:sub>
                <m:r>
                  <w:rPr>
                    <w:rFonts w:ascii="Cambria Math" w:eastAsiaTheme="minorEastAsia" w:hAnsi="Cambria Math" w:cstheme="minorBidi"/>
                    <w:szCs w:val="24"/>
                  </w:rPr>
                  <m:t>T</m:t>
                </m:r>
              </m:sub>
            </m:sSub>
          </m:den>
        </m:f>
        <m:r>
          <w:rPr>
            <w:rFonts w:ascii="Cambria Math" w:eastAsiaTheme="minorEastAsia" w:hAnsi="Cambria Math" w:cstheme="minorBidi"/>
            <w:szCs w:val="24"/>
          </w:rPr>
          <m:t>100</m:t>
        </m:r>
      </m:oMath>
      <w:r>
        <w:rPr>
          <w:rFonts w:ascii="Arial" w:eastAsiaTheme="minorEastAsia" w:hAnsi="Arial" w:cstheme="minorBidi"/>
          <w:i/>
          <w:szCs w:val="24"/>
        </w:rPr>
        <w:tab/>
      </w:r>
      <w:r w:rsidRPr="0045477F">
        <w:rPr>
          <w:rFonts w:eastAsiaTheme="minorEastAsia"/>
          <w:szCs w:val="24"/>
        </w:rPr>
        <w:t>(</w:t>
      </w:r>
      <w:r w:rsidR="00402C07">
        <w:rPr>
          <w:szCs w:val="24"/>
        </w:rPr>
        <w:t>3-</w:t>
      </w:r>
      <w:r w:rsidRPr="0045477F">
        <w:rPr>
          <w:rFonts w:eastAsiaTheme="minorEastAsia"/>
          <w:szCs w:val="24"/>
        </w:rPr>
        <w:t>14)</w:t>
      </w:r>
    </w:p>
    <w:p w:rsidR="00AB6CA2" w:rsidRDefault="00AB6CA2" w:rsidP="0045477F"/>
    <w:p w:rsidR="00AB6CA2" w:rsidRPr="0045477F" w:rsidRDefault="0045477F" w:rsidP="001A558D">
      <w:pPr>
        <w:tabs>
          <w:tab w:val="center" w:pos="4680"/>
          <w:tab w:val="right" w:pos="9360"/>
        </w:tabs>
        <w:spacing w:before="20" w:after="20"/>
        <w:rPr>
          <w:rFonts w:eastAsiaTheme="minorEastAsia"/>
          <w:szCs w:val="24"/>
        </w:rPr>
      </w:pPr>
      <w:r>
        <w:rPr>
          <w:szCs w:val="24"/>
        </w:rPr>
        <w:tab/>
      </w:r>
      <m:oMath>
        <m:r>
          <w:rPr>
            <w:rFonts w:ascii="Cambria Math" w:eastAsiaTheme="minorEastAsia" w:hAnsi="Cambria Math" w:cstheme="minorBidi"/>
            <w:szCs w:val="24"/>
          </w:rPr>
          <m:t xml:space="preserve">VMA= </m:t>
        </m:r>
        <m:f>
          <m:fPr>
            <m:ctrlPr>
              <w:rPr>
                <w:rFonts w:ascii="Cambria Math" w:eastAsiaTheme="minorEastAsia" w:hAnsi="Cambria Math" w:cstheme="minorBidi"/>
                <w:i/>
                <w:szCs w:val="24"/>
              </w:rPr>
            </m:ctrlPr>
          </m:fPr>
          <m:num>
            <m:sSub>
              <m:sSubPr>
                <m:ctrlPr>
                  <w:rPr>
                    <w:rFonts w:ascii="Cambria Math" w:eastAsiaTheme="minorEastAsia" w:hAnsi="Cambria Math" w:cstheme="minorBidi"/>
                    <w:i/>
                    <w:szCs w:val="24"/>
                  </w:rPr>
                </m:ctrlPr>
              </m:sSubPr>
              <m:e>
                <m:r>
                  <w:rPr>
                    <w:rFonts w:ascii="Cambria Math" w:eastAsiaTheme="minorEastAsia" w:hAnsi="Cambria Math" w:cstheme="minorBidi"/>
                    <w:szCs w:val="24"/>
                  </w:rPr>
                  <m:t>V</m:t>
                </m:r>
              </m:e>
              <m:sub>
                <m:r>
                  <w:rPr>
                    <w:rFonts w:ascii="Cambria Math" w:eastAsiaTheme="minorEastAsia" w:hAnsi="Cambria Math" w:cstheme="minorBidi"/>
                    <w:szCs w:val="24"/>
                  </w:rPr>
                  <m:t>a</m:t>
                </m:r>
              </m:sub>
            </m:sSub>
            <m:r>
              <w:rPr>
                <w:rFonts w:ascii="Cambria Math" w:eastAsiaTheme="minorEastAsia" w:hAnsi="Cambria Math" w:cstheme="minorBidi"/>
                <w:szCs w:val="24"/>
              </w:rPr>
              <m:t>+</m:t>
            </m:r>
            <m:sSub>
              <m:sSubPr>
                <m:ctrlPr>
                  <w:rPr>
                    <w:rFonts w:ascii="Cambria Math" w:eastAsiaTheme="minorEastAsia" w:hAnsi="Cambria Math" w:cstheme="minorBidi"/>
                    <w:i/>
                    <w:szCs w:val="24"/>
                  </w:rPr>
                </m:ctrlPr>
              </m:sSubPr>
              <m:e>
                <m:r>
                  <w:rPr>
                    <w:rFonts w:ascii="Cambria Math" w:eastAsiaTheme="minorEastAsia" w:hAnsi="Cambria Math" w:cstheme="minorBidi"/>
                    <w:szCs w:val="24"/>
                  </w:rPr>
                  <m:t>V</m:t>
                </m:r>
              </m:e>
              <m:sub>
                <m:r>
                  <w:rPr>
                    <w:rFonts w:ascii="Cambria Math" w:eastAsiaTheme="minorEastAsia" w:hAnsi="Cambria Math" w:cstheme="minorBidi"/>
                    <w:szCs w:val="24"/>
                  </w:rPr>
                  <m:t>be</m:t>
                </m:r>
              </m:sub>
            </m:sSub>
          </m:num>
          <m:den>
            <m:sSub>
              <m:sSubPr>
                <m:ctrlPr>
                  <w:rPr>
                    <w:rFonts w:ascii="Cambria Math" w:eastAsiaTheme="minorEastAsia" w:hAnsi="Cambria Math" w:cstheme="minorBidi"/>
                    <w:i/>
                    <w:szCs w:val="24"/>
                  </w:rPr>
                </m:ctrlPr>
              </m:sSubPr>
              <m:e>
                <m:r>
                  <w:rPr>
                    <w:rFonts w:ascii="Cambria Math" w:eastAsiaTheme="minorEastAsia" w:hAnsi="Cambria Math" w:cstheme="minorBidi"/>
                    <w:szCs w:val="24"/>
                  </w:rPr>
                  <m:t>V</m:t>
                </m:r>
              </m:e>
              <m:sub>
                <m:r>
                  <w:rPr>
                    <w:rFonts w:ascii="Cambria Math" w:eastAsiaTheme="minorEastAsia" w:hAnsi="Cambria Math" w:cstheme="minorBidi"/>
                    <w:szCs w:val="24"/>
                  </w:rPr>
                  <m:t>T</m:t>
                </m:r>
              </m:sub>
            </m:sSub>
          </m:den>
        </m:f>
        <m:r>
          <w:rPr>
            <w:rFonts w:ascii="Cambria Math" w:eastAsiaTheme="minorEastAsia" w:hAnsi="Cambria Math" w:cstheme="minorBidi"/>
            <w:szCs w:val="24"/>
          </w:rPr>
          <m:t>100</m:t>
        </m:r>
      </m:oMath>
      <w:r>
        <w:rPr>
          <w:rFonts w:eastAsiaTheme="minorEastAsia"/>
          <w:szCs w:val="24"/>
        </w:rPr>
        <w:tab/>
      </w:r>
      <w:r w:rsidRPr="0045477F">
        <w:rPr>
          <w:rFonts w:eastAsiaTheme="minorEastAsia"/>
          <w:szCs w:val="24"/>
        </w:rPr>
        <w:t>(</w:t>
      </w:r>
      <w:r w:rsidR="00402C07">
        <w:rPr>
          <w:szCs w:val="24"/>
        </w:rPr>
        <w:t>3-</w:t>
      </w:r>
      <w:r>
        <w:rPr>
          <w:rFonts w:eastAsiaTheme="minorEastAsia"/>
          <w:szCs w:val="24"/>
        </w:rPr>
        <w:t>15</w:t>
      </w:r>
      <w:r w:rsidRPr="0045477F">
        <w:rPr>
          <w:rFonts w:eastAsiaTheme="minorEastAsia"/>
          <w:szCs w:val="24"/>
        </w:rPr>
        <w:t>)</w:t>
      </w:r>
    </w:p>
    <w:p w:rsidR="00AB6CA2" w:rsidRDefault="00AB6CA2" w:rsidP="0045477F"/>
    <w:p w:rsidR="00AB6CA2" w:rsidRPr="0045477F" w:rsidRDefault="0045477F" w:rsidP="001A558D">
      <w:pPr>
        <w:tabs>
          <w:tab w:val="center" w:pos="4680"/>
          <w:tab w:val="right" w:pos="9360"/>
        </w:tabs>
        <w:spacing w:before="20" w:after="20"/>
        <w:rPr>
          <w:rFonts w:eastAsiaTheme="minorEastAsia"/>
          <w:szCs w:val="24"/>
        </w:rPr>
      </w:pPr>
      <w:r>
        <w:rPr>
          <w:szCs w:val="24"/>
        </w:rPr>
        <w:tab/>
      </w:r>
      <m:oMath>
        <m:r>
          <w:rPr>
            <w:rFonts w:ascii="Cambria Math" w:eastAsiaTheme="minorEastAsia" w:hAnsi="Cambria Math" w:cstheme="minorBidi"/>
            <w:szCs w:val="24"/>
          </w:rPr>
          <m:t xml:space="preserve">VFA= </m:t>
        </m:r>
        <m:f>
          <m:fPr>
            <m:ctrlPr>
              <w:rPr>
                <w:rFonts w:ascii="Cambria Math" w:eastAsiaTheme="minorEastAsia" w:hAnsi="Cambria Math" w:cstheme="minorBidi"/>
                <w:i/>
                <w:szCs w:val="24"/>
              </w:rPr>
            </m:ctrlPr>
          </m:fPr>
          <m:num>
            <m:sSub>
              <m:sSubPr>
                <m:ctrlPr>
                  <w:rPr>
                    <w:rFonts w:ascii="Cambria Math" w:eastAsiaTheme="minorEastAsia" w:hAnsi="Cambria Math" w:cstheme="minorBidi"/>
                    <w:i/>
                    <w:szCs w:val="24"/>
                  </w:rPr>
                </m:ctrlPr>
              </m:sSubPr>
              <m:e>
                <m:r>
                  <w:rPr>
                    <w:rFonts w:ascii="Cambria Math" w:eastAsiaTheme="minorEastAsia" w:hAnsi="Cambria Math" w:cstheme="minorBidi"/>
                    <w:szCs w:val="24"/>
                  </w:rPr>
                  <m:t>V</m:t>
                </m:r>
              </m:e>
              <m:sub>
                <m:r>
                  <w:rPr>
                    <w:rFonts w:ascii="Cambria Math" w:eastAsiaTheme="minorEastAsia" w:hAnsi="Cambria Math" w:cstheme="minorBidi"/>
                    <w:szCs w:val="24"/>
                  </w:rPr>
                  <m:t>be</m:t>
                </m:r>
              </m:sub>
            </m:sSub>
          </m:num>
          <m:den>
            <m:sSub>
              <m:sSubPr>
                <m:ctrlPr>
                  <w:rPr>
                    <w:rFonts w:ascii="Cambria Math" w:eastAsiaTheme="minorEastAsia" w:hAnsi="Cambria Math" w:cstheme="minorBidi"/>
                    <w:i/>
                    <w:szCs w:val="24"/>
                  </w:rPr>
                </m:ctrlPr>
              </m:sSubPr>
              <m:e>
                <m:r>
                  <w:rPr>
                    <w:rFonts w:ascii="Cambria Math" w:eastAsiaTheme="minorEastAsia" w:hAnsi="Cambria Math" w:cstheme="minorBidi"/>
                    <w:szCs w:val="24"/>
                  </w:rPr>
                  <m:t>V</m:t>
                </m:r>
              </m:e>
              <m:sub>
                <m:r>
                  <w:rPr>
                    <w:rFonts w:ascii="Cambria Math" w:eastAsiaTheme="minorEastAsia" w:hAnsi="Cambria Math" w:cstheme="minorBidi"/>
                    <w:szCs w:val="24"/>
                  </w:rPr>
                  <m:t>be</m:t>
                </m:r>
              </m:sub>
            </m:sSub>
            <m:r>
              <w:rPr>
                <w:rFonts w:ascii="Cambria Math" w:eastAsiaTheme="minorEastAsia" w:hAnsi="Cambria Math" w:cstheme="minorBidi"/>
                <w:szCs w:val="24"/>
              </w:rPr>
              <m:t>+</m:t>
            </m:r>
            <m:sSub>
              <m:sSubPr>
                <m:ctrlPr>
                  <w:rPr>
                    <w:rFonts w:ascii="Cambria Math" w:eastAsiaTheme="minorEastAsia" w:hAnsi="Cambria Math" w:cstheme="minorBidi"/>
                    <w:i/>
                    <w:szCs w:val="24"/>
                  </w:rPr>
                </m:ctrlPr>
              </m:sSubPr>
              <m:e>
                <m:r>
                  <w:rPr>
                    <w:rFonts w:ascii="Cambria Math" w:eastAsiaTheme="minorEastAsia" w:hAnsi="Cambria Math" w:cstheme="minorBidi"/>
                    <w:szCs w:val="24"/>
                  </w:rPr>
                  <m:t>V</m:t>
                </m:r>
              </m:e>
              <m:sub>
                <m:r>
                  <w:rPr>
                    <w:rFonts w:ascii="Cambria Math" w:eastAsiaTheme="minorEastAsia" w:hAnsi="Cambria Math" w:cstheme="minorBidi"/>
                    <w:szCs w:val="24"/>
                  </w:rPr>
                  <m:t>a</m:t>
                </m:r>
              </m:sub>
            </m:sSub>
          </m:den>
        </m:f>
        <m:r>
          <w:rPr>
            <w:rFonts w:ascii="Cambria Math" w:eastAsiaTheme="minorEastAsia" w:hAnsi="Cambria Math" w:cstheme="minorBidi"/>
            <w:szCs w:val="24"/>
          </w:rPr>
          <m:t>100</m:t>
        </m:r>
      </m:oMath>
      <w:r>
        <w:rPr>
          <w:rFonts w:eastAsiaTheme="minorEastAsia"/>
          <w:szCs w:val="24"/>
        </w:rPr>
        <w:tab/>
      </w:r>
      <w:r w:rsidRPr="0045477F">
        <w:rPr>
          <w:rFonts w:eastAsiaTheme="minorEastAsia"/>
          <w:szCs w:val="24"/>
        </w:rPr>
        <w:t>(</w:t>
      </w:r>
      <w:r w:rsidR="00402C07">
        <w:rPr>
          <w:szCs w:val="24"/>
        </w:rPr>
        <w:t>3-</w:t>
      </w:r>
      <w:r w:rsidRPr="0045477F">
        <w:rPr>
          <w:rFonts w:eastAsiaTheme="minorEastAsia"/>
          <w:szCs w:val="24"/>
        </w:rPr>
        <w:t>1</w:t>
      </w:r>
      <w:r>
        <w:rPr>
          <w:rFonts w:eastAsiaTheme="minorEastAsia"/>
          <w:szCs w:val="24"/>
        </w:rPr>
        <w:t>6</w:t>
      </w:r>
      <w:r w:rsidRPr="0045477F">
        <w:rPr>
          <w:rFonts w:eastAsiaTheme="minorEastAsia"/>
          <w:szCs w:val="24"/>
        </w:rPr>
        <w:t>)</w:t>
      </w:r>
    </w:p>
    <w:p w:rsidR="00AB6CA2" w:rsidRPr="0045477F" w:rsidRDefault="00AB6CA2" w:rsidP="0045477F">
      <w:pPr>
        <w:spacing w:before="120" w:after="120"/>
        <w:rPr>
          <w:szCs w:val="24"/>
        </w:rPr>
      </w:pPr>
      <w:r w:rsidRPr="0045477F">
        <w:rPr>
          <w:szCs w:val="24"/>
        </w:rPr>
        <w:t>where:</w:t>
      </w:r>
    </w:p>
    <w:p w:rsidR="0045477F" w:rsidRDefault="00AB6CA2" w:rsidP="0045477F">
      <w:pPr>
        <w:tabs>
          <w:tab w:val="right" w:pos="1080"/>
          <w:tab w:val="left" w:pos="1440"/>
          <w:tab w:val="left" w:pos="1800"/>
        </w:tabs>
        <w:ind w:left="1800" w:hanging="1800"/>
        <w:rPr>
          <w:szCs w:val="24"/>
        </w:rPr>
      </w:pPr>
      <w:r w:rsidRPr="0045477F">
        <w:rPr>
          <w:i/>
          <w:szCs w:val="24"/>
        </w:rPr>
        <w:tab/>
      </w:r>
      <w:r w:rsidR="0045477F">
        <w:rPr>
          <w:i/>
          <w:szCs w:val="24"/>
        </w:rPr>
        <w:t>VTM</w:t>
      </w:r>
      <w:r w:rsidR="0045477F">
        <w:rPr>
          <w:i/>
          <w:szCs w:val="24"/>
        </w:rPr>
        <w:tab/>
        <w:t>=</w:t>
      </w:r>
      <w:r w:rsidR="0045477F">
        <w:rPr>
          <w:i/>
          <w:szCs w:val="24"/>
        </w:rPr>
        <w:tab/>
      </w:r>
      <w:r w:rsidR="00DF35C4">
        <w:rPr>
          <w:szCs w:val="24"/>
        </w:rPr>
        <w:t>Voids in total mix</w:t>
      </w:r>
    </w:p>
    <w:p w:rsidR="0045477F" w:rsidRDefault="0045477F" w:rsidP="0045477F">
      <w:pPr>
        <w:tabs>
          <w:tab w:val="right" w:pos="1080"/>
          <w:tab w:val="left" w:pos="1440"/>
          <w:tab w:val="left" w:pos="1800"/>
        </w:tabs>
        <w:ind w:left="1800" w:hanging="1800"/>
        <w:rPr>
          <w:szCs w:val="24"/>
        </w:rPr>
      </w:pPr>
      <w:r>
        <w:rPr>
          <w:i/>
          <w:szCs w:val="24"/>
        </w:rPr>
        <w:tab/>
        <w:t>VMA</w:t>
      </w:r>
      <w:r>
        <w:rPr>
          <w:i/>
          <w:szCs w:val="24"/>
        </w:rPr>
        <w:tab/>
        <w:t>=</w:t>
      </w:r>
      <w:r>
        <w:rPr>
          <w:i/>
          <w:szCs w:val="24"/>
        </w:rPr>
        <w:tab/>
      </w:r>
      <w:r w:rsidR="00DF35C4">
        <w:rPr>
          <w:szCs w:val="24"/>
        </w:rPr>
        <w:t>Voids in mineral aggregate</w:t>
      </w:r>
    </w:p>
    <w:p w:rsidR="0045477F" w:rsidRPr="0045477F" w:rsidRDefault="0045477F" w:rsidP="0045477F">
      <w:pPr>
        <w:tabs>
          <w:tab w:val="right" w:pos="1080"/>
          <w:tab w:val="left" w:pos="1440"/>
          <w:tab w:val="left" w:pos="1800"/>
        </w:tabs>
        <w:ind w:left="1800" w:hanging="1800"/>
        <w:rPr>
          <w:szCs w:val="24"/>
        </w:rPr>
      </w:pPr>
      <w:r>
        <w:rPr>
          <w:i/>
          <w:szCs w:val="24"/>
        </w:rPr>
        <w:tab/>
        <w:t>VFA</w:t>
      </w:r>
      <w:r>
        <w:rPr>
          <w:i/>
          <w:szCs w:val="24"/>
        </w:rPr>
        <w:tab/>
        <w:t>=</w:t>
      </w:r>
      <w:r>
        <w:rPr>
          <w:i/>
          <w:szCs w:val="24"/>
        </w:rPr>
        <w:tab/>
      </w:r>
      <w:r w:rsidR="00DF35C4">
        <w:rPr>
          <w:szCs w:val="24"/>
        </w:rPr>
        <w:t>Voids filled with asphalt</w:t>
      </w:r>
    </w:p>
    <w:p w:rsidR="00AB6CA2" w:rsidRPr="0045477F" w:rsidRDefault="0045477F" w:rsidP="0045477F">
      <w:pPr>
        <w:tabs>
          <w:tab w:val="right" w:pos="1080"/>
          <w:tab w:val="left" w:pos="1440"/>
          <w:tab w:val="left" w:pos="1800"/>
        </w:tabs>
        <w:ind w:left="1800" w:hanging="1800"/>
        <w:rPr>
          <w:i/>
          <w:szCs w:val="24"/>
        </w:rPr>
      </w:pPr>
      <w:r>
        <w:rPr>
          <w:i/>
          <w:szCs w:val="24"/>
        </w:rPr>
        <w:tab/>
      </w:r>
      <w:r w:rsidR="00AB6CA2" w:rsidRPr="0045477F">
        <w:rPr>
          <w:i/>
          <w:szCs w:val="24"/>
        </w:rPr>
        <w:t>V</w:t>
      </w:r>
      <w:r w:rsidR="001A558D">
        <w:rPr>
          <w:i/>
          <w:szCs w:val="24"/>
          <w:vertAlign w:val="subscript"/>
        </w:rPr>
        <w:t>a</w:t>
      </w:r>
      <w:r>
        <w:rPr>
          <w:i/>
          <w:szCs w:val="24"/>
        </w:rPr>
        <w:tab/>
      </w:r>
      <w:r w:rsidR="00AB6CA2" w:rsidRPr="0045477F">
        <w:rPr>
          <w:i/>
          <w:szCs w:val="24"/>
        </w:rPr>
        <w:t>=</w:t>
      </w:r>
      <w:r>
        <w:rPr>
          <w:i/>
          <w:szCs w:val="24"/>
        </w:rPr>
        <w:tab/>
      </w:r>
      <w:r w:rsidRPr="0045477F">
        <w:rPr>
          <w:szCs w:val="24"/>
        </w:rPr>
        <w:t>V</w:t>
      </w:r>
      <w:r w:rsidR="00AB6CA2" w:rsidRPr="0045477F">
        <w:rPr>
          <w:szCs w:val="24"/>
        </w:rPr>
        <w:t>olume of air voids</w:t>
      </w:r>
    </w:p>
    <w:p w:rsidR="00AB6CA2" w:rsidRPr="0045477F" w:rsidRDefault="0045477F" w:rsidP="0045477F">
      <w:pPr>
        <w:tabs>
          <w:tab w:val="right" w:pos="1080"/>
          <w:tab w:val="left" w:pos="1440"/>
          <w:tab w:val="left" w:pos="1800"/>
        </w:tabs>
        <w:ind w:left="1800" w:hanging="1800"/>
        <w:rPr>
          <w:szCs w:val="24"/>
        </w:rPr>
      </w:pPr>
      <w:r>
        <w:rPr>
          <w:i/>
          <w:szCs w:val="24"/>
        </w:rPr>
        <w:tab/>
      </w:r>
      <w:r w:rsidR="00AB6CA2" w:rsidRPr="0045477F">
        <w:rPr>
          <w:i/>
          <w:szCs w:val="24"/>
        </w:rPr>
        <w:t>V</w:t>
      </w:r>
      <w:r w:rsidR="00AB6CA2" w:rsidRPr="0045477F">
        <w:rPr>
          <w:i/>
          <w:szCs w:val="24"/>
          <w:vertAlign w:val="subscript"/>
        </w:rPr>
        <w:t>be</w:t>
      </w:r>
      <w:r>
        <w:rPr>
          <w:i/>
          <w:szCs w:val="24"/>
        </w:rPr>
        <w:tab/>
      </w:r>
      <w:r w:rsidR="00AB6CA2" w:rsidRPr="0045477F">
        <w:rPr>
          <w:i/>
          <w:szCs w:val="24"/>
        </w:rPr>
        <w:t>=</w:t>
      </w:r>
      <w:r>
        <w:rPr>
          <w:i/>
          <w:szCs w:val="24"/>
        </w:rPr>
        <w:tab/>
      </w:r>
      <w:r w:rsidRPr="0045477F">
        <w:rPr>
          <w:szCs w:val="24"/>
        </w:rPr>
        <w:t>V</w:t>
      </w:r>
      <w:r w:rsidR="00AB6CA2" w:rsidRPr="0045477F">
        <w:rPr>
          <w:szCs w:val="24"/>
        </w:rPr>
        <w:t>olume of effective asphalt binder, which is the total asphalt minus the absorbed asphalt</w:t>
      </w:r>
    </w:p>
    <w:p w:rsidR="00AB6CA2" w:rsidRDefault="00AB6CA2" w:rsidP="0045477F">
      <w:pPr>
        <w:tabs>
          <w:tab w:val="right" w:pos="1080"/>
          <w:tab w:val="left" w:pos="1440"/>
          <w:tab w:val="left" w:pos="1800"/>
        </w:tabs>
        <w:ind w:left="1800" w:hanging="1800"/>
        <w:rPr>
          <w:szCs w:val="24"/>
        </w:rPr>
      </w:pPr>
      <w:r w:rsidRPr="0045477F">
        <w:rPr>
          <w:i/>
          <w:szCs w:val="24"/>
        </w:rPr>
        <w:tab/>
        <w:t>V</w:t>
      </w:r>
      <w:r w:rsidR="001A558D">
        <w:rPr>
          <w:i/>
          <w:szCs w:val="24"/>
          <w:vertAlign w:val="subscript"/>
        </w:rPr>
        <w:t>T</w:t>
      </w:r>
      <w:r w:rsidR="0045477F">
        <w:rPr>
          <w:szCs w:val="24"/>
        </w:rPr>
        <w:tab/>
      </w:r>
      <w:r w:rsidRPr="0045477F">
        <w:rPr>
          <w:szCs w:val="24"/>
        </w:rPr>
        <w:t>=</w:t>
      </w:r>
      <w:r w:rsidR="0045477F">
        <w:rPr>
          <w:szCs w:val="24"/>
        </w:rPr>
        <w:tab/>
      </w:r>
      <w:r w:rsidRPr="0045477F">
        <w:rPr>
          <w:szCs w:val="24"/>
        </w:rPr>
        <w:t>total volume of the mixture</w:t>
      </w:r>
    </w:p>
    <w:p w:rsidR="001A558D" w:rsidRDefault="001A558D" w:rsidP="0045477F">
      <w:pPr>
        <w:tabs>
          <w:tab w:val="right" w:pos="1080"/>
          <w:tab w:val="left" w:pos="1440"/>
          <w:tab w:val="left" w:pos="1800"/>
        </w:tabs>
        <w:ind w:left="1800" w:hanging="1800"/>
        <w:rPr>
          <w:i/>
          <w:szCs w:val="24"/>
        </w:rPr>
      </w:pPr>
    </w:p>
    <w:p w:rsidR="001A558D" w:rsidRDefault="001A558D" w:rsidP="001A558D">
      <w:pPr>
        <w:tabs>
          <w:tab w:val="right" w:pos="1080"/>
          <w:tab w:val="left" w:pos="1440"/>
          <w:tab w:val="left" w:pos="1800"/>
        </w:tabs>
        <w:ind w:left="1800" w:hanging="1800"/>
        <w:jc w:val="center"/>
        <w:rPr>
          <w:i/>
          <w:szCs w:val="24"/>
        </w:rPr>
      </w:pPr>
      <w:r>
        <w:rPr>
          <w:i/>
          <w:noProof/>
          <w:szCs w:val="24"/>
        </w:rPr>
        <w:drawing>
          <wp:inline distT="0" distB="0" distL="0" distR="0">
            <wp:extent cx="3545633" cy="2502133"/>
            <wp:effectExtent l="19050" t="0" r="0" b="0"/>
            <wp:docPr id="56" name="Picture 55" descr="HMA Phase 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A Phase Diagram.jpg"/>
                    <pic:cNvPicPr/>
                  </pic:nvPicPr>
                  <pic:blipFill>
                    <a:blip r:embed="rId52" cstate="print"/>
                    <a:srcRect l="18530" t="24543" r="21778" b="5440"/>
                    <a:stretch>
                      <a:fillRect/>
                    </a:stretch>
                  </pic:blipFill>
                  <pic:spPr>
                    <a:xfrm>
                      <a:off x="0" y="0"/>
                      <a:ext cx="3545633" cy="2502133"/>
                    </a:xfrm>
                    <a:prstGeom prst="rect">
                      <a:avLst/>
                    </a:prstGeom>
                  </pic:spPr>
                </pic:pic>
              </a:graphicData>
            </a:graphic>
          </wp:inline>
        </w:drawing>
      </w:r>
    </w:p>
    <w:p w:rsidR="000413D4" w:rsidRPr="0045477F" w:rsidRDefault="000413D4" w:rsidP="0045477F"/>
    <w:p w:rsidR="00AB6CA2" w:rsidRDefault="00F3038B" w:rsidP="004B4E81">
      <w:pPr>
        <w:pStyle w:val="APTechFigureCaption"/>
      </w:pPr>
      <w:bookmarkStart w:id="84" w:name="f17"/>
      <w:bookmarkStart w:id="85" w:name="_Toc295918041"/>
      <w:r>
        <w:t>Figure 3-1</w:t>
      </w:r>
      <w:bookmarkEnd w:id="84"/>
      <w:r w:rsidR="00CC4DEE">
        <w:t>3</w:t>
      </w:r>
      <w:r w:rsidR="00AB6CA2">
        <w:t>.</w:t>
      </w:r>
      <w:r w:rsidR="0045477F">
        <w:t xml:space="preserve"> </w:t>
      </w:r>
      <w:r w:rsidR="00AB6CA2">
        <w:t xml:space="preserve"> </w:t>
      </w:r>
      <w:r w:rsidR="002D59F3">
        <w:t>Asphalt mixture</w:t>
      </w:r>
      <w:r w:rsidR="001A558D">
        <w:t xml:space="preserve"> p</w:t>
      </w:r>
      <w:r w:rsidR="00AB6CA2">
        <w:t>hase diagram</w:t>
      </w:r>
      <w:r w:rsidR="001A558D">
        <w:t xml:space="preserve"> </w:t>
      </w:r>
      <w:r w:rsidR="00AB6CA2">
        <w:t>(</w:t>
      </w:r>
      <w:hyperlink r:id="rId53" w:history="1">
        <w:r w:rsidR="001A558D" w:rsidRPr="001A558D">
          <w:rPr>
            <w:rStyle w:val="Hyperlink"/>
          </w:rPr>
          <w:t>Yu a</w:t>
        </w:r>
        <w:r w:rsidR="001A558D">
          <w:rPr>
            <w:rStyle w:val="Hyperlink"/>
          </w:rPr>
          <w:t>n</w:t>
        </w:r>
        <w:r w:rsidR="001A558D" w:rsidRPr="001A558D">
          <w:rPr>
            <w:rStyle w:val="Hyperlink"/>
          </w:rPr>
          <w:t>d Shen</w:t>
        </w:r>
        <w:r w:rsidR="0045477F" w:rsidRPr="001A558D">
          <w:rPr>
            <w:rStyle w:val="Hyperlink"/>
          </w:rPr>
          <w:t xml:space="preserve"> </w:t>
        </w:r>
        <w:r w:rsidR="002E23D6" w:rsidRPr="001A558D">
          <w:rPr>
            <w:rStyle w:val="Hyperlink"/>
          </w:rPr>
          <w:t>20</w:t>
        </w:r>
        <w:r w:rsidR="001A558D" w:rsidRPr="001A558D">
          <w:rPr>
            <w:rStyle w:val="Hyperlink"/>
          </w:rPr>
          <w:t>11</w:t>
        </w:r>
      </w:hyperlink>
      <w:r w:rsidR="00AB6CA2">
        <w:t>).</w:t>
      </w:r>
      <w:bookmarkEnd w:id="85"/>
    </w:p>
    <w:p w:rsidR="00AB6CA2" w:rsidRDefault="00AB6CA2" w:rsidP="0045477F"/>
    <w:p w:rsidR="000413D4" w:rsidRPr="00792C38" w:rsidRDefault="000413D4" w:rsidP="0045477F"/>
    <w:p w:rsidR="00AB6CA2" w:rsidRDefault="00AB6CA2" w:rsidP="006F331D">
      <w:r>
        <w:t>The volumetric analysis requires that the theoretical maximum specific gravity (G</w:t>
      </w:r>
      <w:r>
        <w:rPr>
          <w:vertAlign w:val="subscript"/>
        </w:rPr>
        <w:t>mm</w:t>
      </w:r>
      <w:r>
        <w:t xml:space="preserve">) be determined in accordance with AASHTO T 209, </w:t>
      </w:r>
      <w:r>
        <w:rPr>
          <w:i/>
        </w:rPr>
        <w:t>Standard Method of Test for Theoretical Specific Gravity and Density of Hot-Mix Asphalt Paving Mixtures</w:t>
      </w:r>
      <w:r>
        <w:t>.  Once G</w:t>
      </w:r>
      <w:r>
        <w:rPr>
          <w:vertAlign w:val="subscript"/>
        </w:rPr>
        <w:t>mm</w:t>
      </w:r>
      <w:r>
        <w:t xml:space="preserve"> is calculated, the effective specific gravity of aggregate coated with asphalt (G</w:t>
      </w:r>
      <w:r>
        <w:rPr>
          <w:vertAlign w:val="subscript"/>
        </w:rPr>
        <w:t>se</w:t>
      </w:r>
      <w:r>
        <w:t>) is determined as follows:</w:t>
      </w:r>
    </w:p>
    <w:p w:rsidR="00AB6CA2" w:rsidRDefault="00AB6CA2" w:rsidP="0045477F"/>
    <w:p w:rsidR="00AB6CA2" w:rsidRPr="0045477F" w:rsidRDefault="0045477F" w:rsidP="0045477F">
      <w:pPr>
        <w:tabs>
          <w:tab w:val="center" w:pos="4680"/>
          <w:tab w:val="right" w:pos="9360"/>
        </w:tabs>
        <w:rPr>
          <w:szCs w:val="24"/>
        </w:rPr>
      </w:pPr>
      <w:r>
        <w:rPr>
          <w:szCs w:val="24"/>
        </w:rPr>
        <w:tab/>
      </w:r>
      <m:oMath>
        <m:sSub>
          <m:sSubPr>
            <m:ctrlPr>
              <w:rPr>
                <w:rFonts w:ascii="Cambria Math" w:hAnsi="Cambria Math"/>
                <w:szCs w:val="24"/>
              </w:rPr>
            </m:ctrlPr>
          </m:sSubPr>
          <m:e>
            <m:r>
              <w:rPr>
                <w:rFonts w:ascii="Cambria Math" w:hAnsi="Cambria Math"/>
                <w:szCs w:val="24"/>
              </w:rPr>
              <m:t>G</m:t>
            </m:r>
          </m:e>
          <m:sub>
            <m:r>
              <w:rPr>
                <w:rFonts w:ascii="Cambria Math" w:hAnsi="Cambria Math"/>
                <w:szCs w:val="24"/>
              </w:rPr>
              <m:t>se</m:t>
            </m:r>
          </m:sub>
        </m:sSub>
        <m:r>
          <m:rPr>
            <m:sty m:val="p"/>
          </m:rPr>
          <w:rPr>
            <w:rFonts w:ascii="Cambria Math" w:hAnsi="Cambria Math"/>
            <w:szCs w:val="24"/>
          </w:rPr>
          <m:t xml:space="preserve">= </m:t>
        </m:r>
        <m:f>
          <m:fPr>
            <m:ctrlPr>
              <w:rPr>
                <w:rFonts w:ascii="Cambria Math" w:hAnsi="Cambria Math"/>
                <w:szCs w:val="24"/>
              </w:rPr>
            </m:ctrlPr>
          </m:fPr>
          <m:num>
            <m:sSub>
              <m:sSubPr>
                <m:ctrlPr>
                  <w:rPr>
                    <w:rFonts w:ascii="Cambria Math" w:hAnsi="Cambria Math"/>
                    <w:szCs w:val="24"/>
                  </w:rPr>
                </m:ctrlPr>
              </m:sSubPr>
              <m:e>
                <m:r>
                  <w:rPr>
                    <w:rFonts w:ascii="Cambria Math" w:hAnsi="Cambria Math"/>
                    <w:szCs w:val="24"/>
                  </w:rPr>
                  <m:t>P</m:t>
                </m:r>
              </m:e>
              <m:sub>
                <m:r>
                  <w:rPr>
                    <w:rFonts w:ascii="Cambria Math" w:hAnsi="Cambria Math"/>
                    <w:szCs w:val="24"/>
                  </w:rPr>
                  <m:t>s</m:t>
                </m:r>
              </m:sub>
            </m:sSub>
          </m:num>
          <m:den>
            <m:d>
              <m:dPr>
                <m:ctrlPr>
                  <w:rPr>
                    <w:rFonts w:ascii="Cambria Math" w:hAnsi="Cambria Math"/>
                    <w:szCs w:val="24"/>
                  </w:rPr>
                </m:ctrlPr>
              </m:dPr>
              <m:e>
                <m:f>
                  <m:fPr>
                    <m:ctrlPr>
                      <w:rPr>
                        <w:rFonts w:ascii="Cambria Math" w:hAnsi="Cambria Math"/>
                        <w:szCs w:val="24"/>
                      </w:rPr>
                    </m:ctrlPr>
                  </m:fPr>
                  <m:num>
                    <m:r>
                      <m:rPr>
                        <m:sty m:val="p"/>
                      </m:rPr>
                      <w:rPr>
                        <w:rFonts w:ascii="Cambria Math" w:hAnsi="Cambria Math"/>
                        <w:szCs w:val="24"/>
                      </w:rPr>
                      <m:t>100</m:t>
                    </m:r>
                  </m:num>
                  <m:den>
                    <m:sSub>
                      <m:sSubPr>
                        <m:ctrlPr>
                          <w:rPr>
                            <w:rFonts w:ascii="Cambria Math" w:hAnsi="Cambria Math"/>
                            <w:szCs w:val="24"/>
                          </w:rPr>
                        </m:ctrlPr>
                      </m:sSubPr>
                      <m:e>
                        <m:r>
                          <w:rPr>
                            <w:rFonts w:ascii="Cambria Math" w:hAnsi="Cambria Math"/>
                            <w:szCs w:val="24"/>
                          </w:rPr>
                          <m:t>G</m:t>
                        </m:r>
                      </m:e>
                      <m:sub>
                        <m:r>
                          <w:rPr>
                            <w:rFonts w:ascii="Cambria Math" w:hAnsi="Cambria Math"/>
                            <w:szCs w:val="24"/>
                          </w:rPr>
                          <m:t>mm</m:t>
                        </m:r>
                      </m:sub>
                    </m:sSub>
                  </m:den>
                </m:f>
                <m:r>
                  <m:rPr>
                    <m:sty m:val="p"/>
                  </m:rPr>
                  <w:rPr>
                    <w:rFonts w:ascii="Cambria Math" w:hAnsi="Cambria Math"/>
                    <w:szCs w:val="24"/>
                  </w:rPr>
                  <m:t xml:space="preserve">- </m:t>
                </m:r>
                <m:f>
                  <m:fPr>
                    <m:ctrlPr>
                      <w:rPr>
                        <w:rFonts w:ascii="Cambria Math" w:hAnsi="Cambria Math"/>
                        <w:szCs w:val="24"/>
                      </w:rPr>
                    </m:ctrlPr>
                  </m:fPr>
                  <m:num>
                    <m:sSub>
                      <m:sSubPr>
                        <m:ctrlPr>
                          <w:rPr>
                            <w:rFonts w:ascii="Cambria Math" w:hAnsi="Cambria Math"/>
                            <w:szCs w:val="24"/>
                          </w:rPr>
                        </m:ctrlPr>
                      </m:sSubPr>
                      <m:e>
                        <m:r>
                          <w:rPr>
                            <w:rFonts w:ascii="Cambria Math" w:hAnsi="Cambria Math"/>
                            <w:szCs w:val="24"/>
                          </w:rPr>
                          <m:t>P</m:t>
                        </m:r>
                      </m:e>
                      <m:sub>
                        <m:r>
                          <w:rPr>
                            <w:rFonts w:ascii="Cambria Math" w:hAnsi="Cambria Math"/>
                            <w:szCs w:val="24"/>
                          </w:rPr>
                          <m:t>b</m:t>
                        </m:r>
                      </m:sub>
                    </m:sSub>
                  </m:num>
                  <m:den>
                    <m:sSub>
                      <m:sSubPr>
                        <m:ctrlPr>
                          <w:rPr>
                            <w:rFonts w:ascii="Cambria Math" w:hAnsi="Cambria Math"/>
                            <w:szCs w:val="24"/>
                          </w:rPr>
                        </m:ctrlPr>
                      </m:sSubPr>
                      <m:e>
                        <m:r>
                          <w:rPr>
                            <w:rFonts w:ascii="Cambria Math" w:hAnsi="Cambria Math"/>
                            <w:szCs w:val="24"/>
                          </w:rPr>
                          <m:t>G</m:t>
                        </m:r>
                      </m:e>
                      <m:sub>
                        <m:r>
                          <w:rPr>
                            <w:rFonts w:ascii="Cambria Math" w:hAnsi="Cambria Math"/>
                            <w:szCs w:val="24"/>
                          </w:rPr>
                          <m:t>b</m:t>
                        </m:r>
                      </m:sub>
                    </m:sSub>
                  </m:den>
                </m:f>
              </m:e>
            </m:d>
          </m:den>
        </m:f>
      </m:oMath>
      <w:r>
        <w:rPr>
          <w:rFonts w:eastAsiaTheme="minorEastAsia"/>
          <w:szCs w:val="24"/>
        </w:rPr>
        <w:tab/>
      </w:r>
      <w:r w:rsidRPr="0045477F">
        <w:rPr>
          <w:rFonts w:eastAsiaTheme="minorEastAsia"/>
          <w:szCs w:val="24"/>
        </w:rPr>
        <w:t>(</w:t>
      </w:r>
      <w:r w:rsidR="00402C07">
        <w:rPr>
          <w:szCs w:val="24"/>
        </w:rPr>
        <w:t>3-</w:t>
      </w:r>
      <w:r w:rsidRPr="0045477F">
        <w:rPr>
          <w:rFonts w:eastAsiaTheme="minorEastAsia"/>
          <w:szCs w:val="24"/>
        </w:rPr>
        <w:t>1</w:t>
      </w:r>
      <w:r>
        <w:rPr>
          <w:rFonts w:eastAsiaTheme="minorEastAsia"/>
          <w:szCs w:val="24"/>
        </w:rPr>
        <w:t>7</w:t>
      </w:r>
      <w:r w:rsidRPr="0045477F">
        <w:rPr>
          <w:rFonts w:eastAsiaTheme="minorEastAsia"/>
          <w:szCs w:val="24"/>
        </w:rPr>
        <w:t>)</w:t>
      </w:r>
    </w:p>
    <w:p w:rsidR="004B4E81" w:rsidRDefault="004B4E81">
      <w:pPr>
        <w:rPr>
          <w:szCs w:val="24"/>
        </w:rPr>
      </w:pPr>
    </w:p>
    <w:p w:rsidR="00AB6CA2" w:rsidRPr="0045477F" w:rsidRDefault="00AB6CA2" w:rsidP="0045477F">
      <w:pPr>
        <w:spacing w:before="120" w:after="120"/>
        <w:rPr>
          <w:szCs w:val="24"/>
        </w:rPr>
      </w:pPr>
      <w:r w:rsidRPr="0045477F">
        <w:rPr>
          <w:szCs w:val="24"/>
        </w:rPr>
        <w:t>where:</w:t>
      </w:r>
    </w:p>
    <w:p w:rsidR="005433F3" w:rsidRDefault="005433F3" w:rsidP="005433F3">
      <w:pPr>
        <w:tabs>
          <w:tab w:val="right" w:pos="1080"/>
          <w:tab w:val="left" w:pos="1440"/>
          <w:tab w:val="left" w:pos="1800"/>
        </w:tabs>
        <w:adjustRightInd w:val="0"/>
        <w:rPr>
          <w:spacing w:val="-2"/>
        </w:rPr>
      </w:pPr>
      <w:r>
        <w:rPr>
          <w:spacing w:val="-2"/>
        </w:rPr>
        <w:tab/>
      </w:r>
      <w:r w:rsidRPr="005433F3">
        <w:rPr>
          <w:i/>
          <w:spacing w:val="-2"/>
        </w:rPr>
        <w:t>G</w:t>
      </w:r>
      <w:r w:rsidRPr="005433F3">
        <w:rPr>
          <w:i/>
          <w:spacing w:val="-2"/>
          <w:vertAlign w:val="subscript"/>
        </w:rPr>
        <w:t>se</w:t>
      </w:r>
      <w:r>
        <w:rPr>
          <w:spacing w:val="-2"/>
        </w:rPr>
        <w:tab/>
        <w:t>=</w:t>
      </w:r>
      <w:r>
        <w:rPr>
          <w:spacing w:val="-2"/>
        </w:rPr>
        <w:tab/>
        <w:t xml:space="preserve">Effective specific gravity of </w:t>
      </w:r>
      <w:r w:rsidR="00DF35C4">
        <w:rPr>
          <w:spacing w:val="-2"/>
        </w:rPr>
        <w:t xml:space="preserve">aggregate coated with </w:t>
      </w:r>
      <w:r w:rsidR="00E527F6" w:rsidRPr="00E527F6">
        <w:rPr>
          <w:color w:val="FF0000"/>
          <w:spacing w:val="-2"/>
        </w:rPr>
        <w:t>asphalt</w:t>
      </w:r>
    </w:p>
    <w:p w:rsidR="005433F3" w:rsidRDefault="005433F3" w:rsidP="005433F3">
      <w:pPr>
        <w:tabs>
          <w:tab w:val="right" w:pos="1080"/>
          <w:tab w:val="left" w:pos="1440"/>
          <w:tab w:val="left" w:pos="1800"/>
        </w:tabs>
        <w:adjustRightInd w:val="0"/>
        <w:rPr>
          <w:spacing w:val="-2"/>
        </w:rPr>
      </w:pPr>
      <w:r>
        <w:rPr>
          <w:spacing w:val="-2"/>
        </w:rPr>
        <w:tab/>
      </w:r>
      <w:r w:rsidRPr="005433F3">
        <w:rPr>
          <w:i/>
          <w:spacing w:val="-2"/>
        </w:rPr>
        <w:t>G</w:t>
      </w:r>
      <w:r w:rsidRPr="005433F3">
        <w:rPr>
          <w:i/>
          <w:spacing w:val="-2"/>
          <w:vertAlign w:val="subscript"/>
        </w:rPr>
        <w:t>mm</w:t>
      </w:r>
      <w:r>
        <w:rPr>
          <w:spacing w:val="-2"/>
        </w:rPr>
        <w:tab/>
        <w:t>=</w:t>
      </w:r>
      <w:r>
        <w:rPr>
          <w:spacing w:val="-2"/>
        </w:rPr>
        <w:tab/>
        <w:t>Theor</w:t>
      </w:r>
      <w:r w:rsidR="00DF35C4">
        <w:rPr>
          <w:spacing w:val="-2"/>
        </w:rPr>
        <w:t>etical maximum specific gravity</w:t>
      </w:r>
    </w:p>
    <w:p w:rsidR="00AB6CA2" w:rsidRDefault="00AB6CA2" w:rsidP="005433F3">
      <w:pPr>
        <w:tabs>
          <w:tab w:val="right" w:pos="1080"/>
          <w:tab w:val="left" w:pos="1440"/>
          <w:tab w:val="left" w:pos="1800"/>
        </w:tabs>
        <w:adjustRightInd w:val="0"/>
        <w:rPr>
          <w:spacing w:val="-2"/>
        </w:rPr>
      </w:pPr>
      <w:r>
        <w:rPr>
          <w:spacing w:val="-2"/>
        </w:rPr>
        <w:tab/>
      </w:r>
      <w:r w:rsidRPr="005433F3">
        <w:rPr>
          <w:i/>
          <w:spacing w:val="-2"/>
        </w:rPr>
        <w:t>P</w:t>
      </w:r>
      <w:r w:rsidRPr="005433F3">
        <w:rPr>
          <w:i/>
          <w:spacing w:val="-2"/>
          <w:vertAlign w:val="subscript"/>
        </w:rPr>
        <w:t>s</w:t>
      </w:r>
      <w:r w:rsidR="0045477F">
        <w:rPr>
          <w:spacing w:val="-2"/>
          <w:vertAlign w:val="subscript"/>
        </w:rPr>
        <w:tab/>
      </w:r>
      <w:r>
        <w:rPr>
          <w:spacing w:val="-2"/>
        </w:rPr>
        <w:t>=</w:t>
      </w:r>
      <w:r w:rsidR="0045477F">
        <w:rPr>
          <w:spacing w:val="-2"/>
        </w:rPr>
        <w:tab/>
        <w:t>P</w:t>
      </w:r>
      <w:r>
        <w:rPr>
          <w:spacing w:val="-2"/>
        </w:rPr>
        <w:t>ercent weight of the aggregate</w:t>
      </w:r>
    </w:p>
    <w:p w:rsidR="00AB6CA2" w:rsidRDefault="00AB6CA2" w:rsidP="005433F3">
      <w:pPr>
        <w:tabs>
          <w:tab w:val="right" w:pos="1080"/>
          <w:tab w:val="left" w:pos="1440"/>
          <w:tab w:val="left" w:pos="1800"/>
        </w:tabs>
        <w:adjustRightInd w:val="0"/>
        <w:rPr>
          <w:spacing w:val="-2"/>
        </w:rPr>
      </w:pPr>
      <w:r>
        <w:rPr>
          <w:spacing w:val="-2"/>
        </w:rPr>
        <w:tab/>
      </w:r>
      <w:r w:rsidRPr="005433F3">
        <w:rPr>
          <w:i/>
          <w:spacing w:val="-2"/>
        </w:rPr>
        <w:t>P</w:t>
      </w:r>
      <w:r w:rsidRPr="005433F3">
        <w:rPr>
          <w:i/>
          <w:spacing w:val="-2"/>
          <w:vertAlign w:val="subscript"/>
        </w:rPr>
        <w:t>b</w:t>
      </w:r>
      <w:r w:rsidR="0045477F">
        <w:rPr>
          <w:spacing w:val="-2"/>
        </w:rPr>
        <w:tab/>
      </w:r>
      <w:r>
        <w:rPr>
          <w:spacing w:val="-2"/>
        </w:rPr>
        <w:t>=</w:t>
      </w:r>
      <w:r w:rsidR="0045477F">
        <w:rPr>
          <w:spacing w:val="-2"/>
        </w:rPr>
        <w:tab/>
        <w:t>P</w:t>
      </w:r>
      <w:r>
        <w:rPr>
          <w:spacing w:val="-2"/>
        </w:rPr>
        <w:t>ercent weight of the asphalt cement</w:t>
      </w:r>
    </w:p>
    <w:p w:rsidR="005433F3" w:rsidRDefault="00AB6CA2" w:rsidP="005433F3">
      <w:pPr>
        <w:tabs>
          <w:tab w:val="right" w:pos="1080"/>
          <w:tab w:val="left" w:pos="1440"/>
          <w:tab w:val="left" w:pos="1800"/>
        </w:tabs>
        <w:adjustRightInd w:val="0"/>
        <w:rPr>
          <w:spacing w:val="-2"/>
        </w:rPr>
      </w:pPr>
      <w:r>
        <w:rPr>
          <w:spacing w:val="-2"/>
        </w:rPr>
        <w:tab/>
      </w:r>
      <w:r w:rsidRPr="005433F3">
        <w:rPr>
          <w:i/>
          <w:spacing w:val="-2"/>
        </w:rPr>
        <w:t>G</w:t>
      </w:r>
      <w:r w:rsidRPr="005433F3">
        <w:rPr>
          <w:i/>
          <w:spacing w:val="-2"/>
          <w:vertAlign w:val="subscript"/>
        </w:rPr>
        <w:t>b</w:t>
      </w:r>
      <w:r w:rsidR="0045477F">
        <w:rPr>
          <w:spacing w:val="-2"/>
          <w:vertAlign w:val="subscript"/>
        </w:rPr>
        <w:tab/>
      </w:r>
      <w:r>
        <w:rPr>
          <w:spacing w:val="-2"/>
        </w:rPr>
        <w:t>=</w:t>
      </w:r>
      <w:r w:rsidR="0045477F">
        <w:rPr>
          <w:spacing w:val="-2"/>
        </w:rPr>
        <w:tab/>
        <w:t>S</w:t>
      </w:r>
      <w:r>
        <w:rPr>
          <w:spacing w:val="-2"/>
        </w:rPr>
        <w:t>pecific gravity of the asphalt binde</w:t>
      </w:r>
      <w:r w:rsidR="00DF35C4">
        <w:rPr>
          <w:spacing w:val="-2"/>
        </w:rPr>
        <w:t>r</w:t>
      </w:r>
    </w:p>
    <w:p w:rsidR="00AB6CA2" w:rsidRDefault="00AB6CA2" w:rsidP="005433F3">
      <w:pPr>
        <w:tabs>
          <w:tab w:val="right" w:pos="1080"/>
          <w:tab w:val="left" w:pos="1440"/>
          <w:tab w:val="left" w:pos="1800"/>
        </w:tabs>
        <w:adjustRightInd w:val="0"/>
        <w:rPr>
          <w:spacing w:val="-2"/>
        </w:rPr>
      </w:pPr>
    </w:p>
    <w:p w:rsidR="00AB6CA2" w:rsidRDefault="00AB6CA2" w:rsidP="006F331D">
      <w:r>
        <w:t>Once the G</w:t>
      </w:r>
      <w:r>
        <w:rPr>
          <w:vertAlign w:val="subscript"/>
        </w:rPr>
        <w:t>mm</w:t>
      </w:r>
      <w:r>
        <w:t xml:space="preserve"> and the G</w:t>
      </w:r>
      <w:r>
        <w:rPr>
          <w:vertAlign w:val="subscript"/>
        </w:rPr>
        <w:t>se</w:t>
      </w:r>
      <w:r>
        <w:t xml:space="preserve"> are determined, the bulk specific gravity (G</w:t>
      </w:r>
      <w:r>
        <w:rPr>
          <w:vertAlign w:val="subscript"/>
        </w:rPr>
        <w:t>mb</w:t>
      </w:r>
      <w:r>
        <w:t xml:space="preserve">) of the compacted mixture is determined in accordance with AASHTO T 166, </w:t>
      </w:r>
      <w:r>
        <w:rPr>
          <w:i/>
        </w:rPr>
        <w:t xml:space="preserve">Standard Method of Test for Bulk Specific Gravity of Compacted Asphalt Mixtures Using Saturated Surface-Dry Specimens.  </w:t>
      </w:r>
    </w:p>
    <w:p w:rsidR="000413D4" w:rsidRDefault="000413D4"/>
    <w:p w:rsidR="00AB6CA2" w:rsidRDefault="00AB6CA2" w:rsidP="006F331D">
      <w:r>
        <w:t xml:space="preserve">The VTM, VMA, and VFA </w:t>
      </w:r>
      <w:r w:rsidR="00E06139">
        <w:t>are</w:t>
      </w:r>
      <w:r>
        <w:t xml:space="preserve"> calculated as follows:</w:t>
      </w:r>
    </w:p>
    <w:p w:rsidR="00AB6CA2" w:rsidRDefault="00AB6CA2" w:rsidP="0045477F"/>
    <w:p w:rsidR="00AB6CA2" w:rsidRPr="0045477F" w:rsidRDefault="0045477F" w:rsidP="0045477F">
      <w:pPr>
        <w:tabs>
          <w:tab w:val="center" w:pos="4680"/>
          <w:tab w:val="right" w:pos="9360"/>
        </w:tabs>
        <w:rPr>
          <w:rFonts w:ascii="Cambria Math" w:hAnsi="Cambria Math"/>
          <w:szCs w:val="24"/>
        </w:rPr>
      </w:pPr>
      <w:r>
        <w:rPr>
          <w:szCs w:val="24"/>
        </w:rPr>
        <w:tab/>
      </w:r>
      <m:oMath>
        <m:r>
          <w:rPr>
            <w:rFonts w:ascii="Cambria Math" w:hAnsi="Cambria Math"/>
            <w:szCs w:val="24"/>
          </w:rPr>
          <m:t>VTM</m:t>
        </m:r>
        <m:r>
          <m:rPr>
            <m:sty m:val="p"/>
          </m:rPr>
          <w:rPr>
            <w:rFonts w:ascii="Cambria Math" w:hAnsi="Cambria Math"/>
            <w:szCs w:val="24"/>
          </w:rPr>
          <m:t>=100</m:t>
        </m:r>
        <m:d>
          <m:dPr>
            <m:ctrlPr>
              <w:rPr>
                <w:rFonts w:ascii="Cambria Math" w:hAnsi="Cambria Math"/>
                <w:szCs w:val="24"/>
              </w:rPr>
            </m:ctrlPr>
          </m:dPr>
          <m:e>
            <m:r>
              <m:rPr>
                <m:sty m:val="p"/>
              </m:rPr>
              <w:rPr>
                <w:rFonts w:ascii="Cambria Math" w:hAnsi="Cambria Math"/>
                <w:szCs w:val="24"/>
              </w:rPr>
              <m:t xml:space="preserve">1- </m:t>
            </m:r>
            <m:f>
              <m:fPr>
                <m:ctrlPr>
                  <w:rPr>
                    <w:rFonts w:ascii="Cambria Math" w:hAnsi="Cambria Math"/>
                    <w:szCs w:val="24"/>
                  </w:rPr>
                </m:ctrlPr>
              </m:fPr>
              <m:num>
                <m:sSub>
                  <m:sSubPr>
                    <m:ctrlPr>
                      <w:rPr>
                        <w:rFonts w:ascii="Cambria Math" w:hAnsi="Cambria Math"/>
                        <w:szCs w:val="24"/>
                      </w:rPr>
                    </m:ctrlPr>
                  </m:sSubPr>
                  <m:e>
                    <m:r>
                      <w:rPr>
                        <w:rFonts w:ascii="Cambria Math" w:hAnsi="Cambria Math"/>
                        <w:szCs w:val="24"/>
                      </w:rPr>
                      <m:t>G</m:t>
                    </m:r>
                  </m:e>
                  <m:sub>
                    <m:r>
                      <w:rPr>
                        <w:rFonts w:ascii="Cambria Math" w:hAnsi="Cambria Math"/>
                        <w:szCs w:val="24"/>
                      </w:rPr>
                      <m:t>mb</m:t>
                    </m:r>
                  </m:sub>
                </m:sSub>
              </m:num>
              <m:den>
                <m:sSub>
                  <m:sSubPr>
                    <m:ctrlPr>
                      <w:rPr>
                        <w:rFonts w:ascii="Cambria Math" w:hAnsi="Cambria Math"/>
                        <w:szCs w:val="24"/>
                      </w:rPr>
                    </m:ctrlPr>
                  </m:sSubPr>
                  <m:e>
                    <m:r>
                      <w:rPr>
                        <w:rFonts w:ascii="Cambria Math" w:hAnsi="Cambria Math"/>
                        <w:szCs w:val="24"/>
                      </w:rPr>
                      <m:t>G</m:t>
                    </m:r>
                  </m:e>
                  <m:sub>
                    <m:r>
                      <w:rPr>
                        <w:rFonts w:ascii="Cambria Math" w:hAnsi="Cambria Math"/>
                        <w:szCs w:val="24"/>
                      </w:rPr>
                      <m:t>mm</m:t>
                    </m:r>
                  </m:sub>
                </m:sSub>
              </m:den>
            </m:f>
          </m:e>
        </m:d>
      </m:oMath>
      <w:r>
        <w:rPr>
          <w:rFonts w:ascii="Cambria Math" w:hAnsi="Cambria Math"/>
          <w:szCs w:val="24"/>
        </w:rPr>
        <w:tab/>
      </w:r>
      <w:r w:rsidRPr="0045477F">
        <w:rPr>
          <w:szCs w:val="24"/>
        </w:rPr>
        <w:t>(</w:t>
      </w:r>
      <w:r w:rsidR="00402C07">
        <w:rPr>
          <w:szCs w:val="24"/>
        </w:rPr>
        <w:t>3-</w:t>
      </w:r>
      <w:r w:rsidRPr="0045477F">
        <w:rPr>
          <w:szCs w:val="24"/>
        </w:rPr>
        <w:t>18)</w:t>
      </w:r>
    </w:p>
    <w:p w:rsidR="00AB6CA2" w:rsidRPr="0045477F" w:rsidRDefault="0045477F" w:rsidP="0045477F">
      <w:pPr>
        <w:tabs>
          <w:tab w:val="center" w:pos="4680"/>
          <w:tab w:val="right" w:pos="9360"/>
        </w:tabs>
        <w:rPr>
          <w:rFonts w:ascii="Cambria Math" w:hAnsi="Cambria Math"/>
          <w:szCs w:val="24"/>
        </w:rPr>
      </w:pPr>
      <w:r>
        <w:rPr>
          <w:szCs w:val="24"/>
        </w:rPr>
        <w:tab/>
      </w:r>
      <m:oMath>
        <m:r>
          <w:rPr>
            <w:rFonts w:ascii="Cambria Math" w:hAnsi="Cambria Math"/>
            <w:szCs w:val="24"/>
          </w:rPr>
          <m:t>VMA</m:t>
        </m:r>
        <m:r>
          <m:rPr>
            <m:sty m:val="p"/>
          </m:rPr>
          <w:rPr>
            <w:rFonts w:ascii="Cambria Math" w:hAnsi="Cambria Math"/>
            <w:szCs w:val="24"/>
          </w:rPr>
          <m:t xml:space="preserve">= </m:t>
        </m:r>
        <m:d>
          <m:dPr>
            <m:ctrlPr>
              <w:rPr>
                <w:rFonts w:ascii="Cambria Math" w:hAnsi="Cambria Math"/>
                <w:szCs w:val="24"/>
              </w:rPr>
            </m:ctrlPr>
          </m:dPr>
          <m:e>
            <m:r>
              <m:rPr>
                <m:sty m:val="p"/>
              </m:rPr>
              <w:rPr>
                <w:rFonts w:ascii="Cambria Math" w:hAnsi="Cambria Math"/>
                <w:szCs w:val="24"/>
              </w:rPr>
              <m:t xml:space="preserve">100- </m:t>
            </m:r>
            <m:sSub>
              <m:sSubPr>
                <m:ctrlPr>
                  <w:rPr>
                    <w:rFonts w:ascii="Cambria Math" w:hAnsi="Cambria Math"/>
                    <w:szCs w:val="24"/>
                  </w:rPr>
                </m:ctrlPr>
              </m:sSubPr>
              <m:e>
                <m:r>
                  <w:rPr>
                    <w:rFonts w:ascii="Cambria Math" w:hAnsi="Cambria Math"/>
                    <w:szCs w:val="24"/>
                  </w:rPr>
                  <m:t>G</m:t>
                </m:r>
              </m:e>
              <m:sub>
                <m:r>
                  <w:rPr>
                    <w:rFonts w:ascii="Cambria Math" w:hAnsi="Cambria Math"/>
                    <w:szCs w:val="24"/>
                  </w:rPr>
                  <m:t>mb</m:t>
                </m:r>
              </m:sub>
            </m:sSub>
            <m:f>
              <m:fPr>
                <m:ctrlPr>
                  <w:rPr>
                    <w:rFonts w:ascii="Cambria Math" w:hAnsi="Cambria Math"/>
                    <w:szCs w:val="24"/>
                  </w:rPr>
                </m:ctrlPr>
              </m:fPr>
              <m:num>
                <m:sSub>
                  <m:sSubPr>
                    <m:ctrlPr>
                      <w:rPr>
                        <w:rFonts w:ascii="Cambria Math" w:hAnsi="Cambria Math"/>
                        <w:szCs w:val="24"/>
                      </w:rPr>
                    </m:ctrlPr>
                  </m:sSubPr>
                  <m:e>
                    <m:r>
                      <w:rPr>
                        <w:rFonts w:ascii="Cambria Math" w:hAnsi="Cambria Math"/>
                        <w:szCs w:val="24"/>
                      </w:rPr>
                      <m:t>P</m:t>
                    </m:r>
                  </m:e>
                  <m:sub>
                    <m:r>
                      <w:rPr>
                        <w:rFonts w:ascii="Cambria Math" w:hAnsi="Cambria Math"/>
                        <w:szCs w:val="24"/>
                      </w:rPr>
                      <m:t>s</m:t>
                    </m:r>
                  </m:sub>
                </m:sSub>
              </m:num>
              <m:den>
                <m:sSub>
                  <m:sSubPr>
                    <m:ctrlPr>
                      <w:rPr>
                        <w:rFonts w:ascii="Cambria Math" w:hAnsi="Cambria Math"/>
                        <w:szCs w:val="24"/>
                      </w:rPr>
                    </m:ctrlPr>
                  </m:sSubPr>
                  <m:e>
                    <m:r>
                      <w:rPr>
                        <w:rFonts w:ascii="Cambria Math" w:hAnsi="Cambria Math"/>
                        <w:szCs w:val="24"/>
                      </w:rPr>
                      <m:t>G</m:t>
                    </m:r>
                  </m:e>
                  <m:sub>
                    <m:r>
                      <w:rPr>
                        <w:rFonts w:ascii="Cambria Math" w:hAnsi="Cambria Math"/>
                        <w:szCs w:val="24"/>
                      </w:rPr>
                      <m:t>sb</m:t>
                    </m:r>
                  </m:sub>
                </m:sSub>
              </m:den>
            </m:f>
          </m:e>
        </m:d>
      </m:oMath>
      <w:r>
        <w:rPr>
          <w:rFonts w:ascii="Cambria Math" w:hAnsi="Cambria Math"/>
          <w:szCs w:val="24"/>
        </w:rPr>
        <w:tab/>
      </w:r>
      <w:r w:rsidRPr="0045477F">
        <w:rPr>
          <w:szCs w:val="24"/>
        </w:rPr>
        <w:t>(</w:t>
      </w:r>
      <w:r w:rsidR="00402C07">
        <w:rPr>
          <w:szCs w:val="24"/>
        </w:rPr>
        <w:t>3-</w:t>
      </w:r>
      <w:r w:rsidRPr="0045477F">
        <w:rPr>
          <w:szCs w:val="24"/>
        </w:rPr>
        <w:t>19)</w:t>
      </w:r>
    </w:p>
    <w:p w:rsidR="00AB6CA2" w:rsidRPr="0045477F" w:rsidRDefault="00AB6CA2" w:rsidP="0045477F"/>
    <w:p w:rsidR="00AB6CA2" w:rsidRPr="005433F3" w:rsidRDefault="005433F3" w:rsidP="0045477F">
      <w:pPr>
        <w:tabs>
          <w:tab w:val="center" w:pos="4680"/>
          <w:tab w:val="right" w:pos="9360"/>
        </w:tabs>
        <w:rPr>
          <w:szCs w:val="24"/>
        </w:rPr>
      </w:pPr>
      <w:r>
        <w:rPr>
          <w:szCs w:val="24"/>
        </w:rPr>
        <w:tab/>
      </w:r>
      <m:oMath>
        <m:r>
          <w:rPr>
            <w:rFonts w:ascii="Cambria Math" w:hAnsi="Cambria Math"/>
            <w:szCs w:val="24"/>
          </w:rPr>
          <m:t>VFA</m:t>
        </m:r>
        <m:r>
          <m:rPr>
            <m:sty m:val="p"/>
          </m:rPr>
          <w:rPr>
            <w:rFonts w:ascii="Cambria Math" w:hAnsi="Cambria Math"/>
            <w:szCs w:val="24"/>
          </w:rPr>
          <m:t>=100</m:t>
        </m:r>
        <m:d>
          <m:dPr>
            <m:ctrlPr>
              <w:rPr>
                <w:rFonts w:ascii="Cambria Math" w:hAnsi="Cambria Math"/>
                <w:szCs w:val="24"/>
              </w:rPr>
            </m:ctrlPr>
          </m:dPr>
          <m:e>
            <m:f>
              <m:fPr>
                <m:ctrlPr>
                  <w:rPr>
                    <w:rFonts w:ascii="Cambria Math" w:hAnsi="Cambria Math"/>
                    <w:szCs w:val="24"/>
                  </w:rPr>
                </m:ctrlPr>
              </m:fPr>
              <m:num>
                <m:r>
                  <w:rPr>
                    <w:rFonts w:ascii="Cambria Math" w:hAnsi="Cambria Math"/>
                    <w:szCs w:val="24"/>
                  </w:rPr>
                  <m:t>VMA</m:t>
                </m:r>
                <m:r>
                  <m:rPr>
                    <m:sty m:val="p"/>
                  </m:rPr>
                  <w:rPr>
                    <w:rFonts w:ascii="Cambria Math" w:hAnsi="Cambria Math"/>
                    <w:szCs w:val="24"/>
                  </w:rPr>
                  <m:t>-</m:t>
                </m:r>
                <m:r>
                  <w:rPr>
                    <w:rFonts w:ascii="Cambria Math" w:hAnsi="Cambria Math"/>
                    <w:szCs w:val="24"/>
                  </w:rPr>
                  <m:t>VTM</m:t>
                </m:r>
              </m:num>
              <m:den>
                <m:r>
                  <w:rPr>
                    <w:rFonts w:ascii="Cambria Math" w:hAnsi="Cambria Math"/>
                    <w:szCs w:val="24"/>
                  </w:rPr>
                  <m:t>VMA</m:t>
                </m:r>
              </m:den>
            </m:f>
          </m:e>
        </m:d>
      </m:oMath>
      <w:r>
        <w:rPr>
          <w:rFonts w:ascii="Cambria Math" w:hAnsi="Cambria Math"/>
          <w:szCs w:val="24"/>
        </w:rPr>
        <w:tab/>
      </w:r>
      <w:r w:rsidRPr="005433F3">
        <w:rPr>
          <w:szCs w:val="24"/>
        </w:rPr>
        <w:t>(</w:t>
      </w:r>
      <w:r w:rsidR="00402C07">
        <w:rPr>
          <w:szCs w:val="24"/>
        </w:rPr>
        <w:t>3-</w:t>
      </w:r>
      <w:r w:rsidRPr="005433F3">
        <w:rPr>
          <w:szCs w:val="24"/>
        </w:rPr>
        <w:t>20)</w:t>
      </w:r>
    </w:p>
    <w:p w:rsidR="00AB6CA2" w:rsidRPr="005433F3" w:rsidRDefault="00AB6CA2" w:rsidP="005433F3">
      <w:pPr>
        <w:spacing w:before="120" w:after="120"/>
        <w:rPr>
          <w:szCs w:val="24"/>
        </w:rPr>
      </w:pPr>
      <w:r w:rsidRPr="005433F3">
        <w:rPr>
          <w:szCs w:val="24"/>
        </w:rPr>
        <w:t>where:</w:t>
      </w:r>
    </w:p>
    <w:p w:rsidR="005433F3" w:rsidRDefault="005433F3" w:rsidP="005433F3">
      <w:pPr>
        <w:tabs>
          <w:tab w:val="right" w:pos="1080"/>
          <w:tab w:val="left" w:pos="1440"/>
          <w:tab w:val="left" w:pos="1800"/>
        </w:tabs>
        <w:ind w:left="1800" w:hanging="1800"/>
        <w:rPr>
          <w:szCs w:val="24"/>
        </w:rPr>
      </w:pPr>
      <w:r w:rsidRPr="0045477F">
        <w:rPr>
          <w:i/>
          <w:szCs w:val="24"/>
        </w:rPr>
        <w:tab/>
      </w:r>
      <w:r>
        <w:rPr>
          <w:i/>
          <w:szCs w:val="24"/>
        </w:rPr>
        <w:t>VTM</w:t>
      </w:r>
      <w:r>
        <w:rPr>
          <w:i/>
          <w:szCs w:val="24"/>
        </w:rPr>
        <w:tab/>
        <w:t>=</w:t>
      </w:r>
      <w:r>
        <w:rPr>
          <w:i/>
          <w:szCs w:val="24"/>
        </w:rPr>
        <w:tab/>
      </w:r>
      <w:r w:rsidR="00DF35C4">
        <w:rPr>
          <w:szCs w:val="24"/>
        </w:rPr>
        <w:t>Voids in total mix</w:t>
      </w:r>
    </w:p>
    <w:p w:rsidR="005433F3" w:rsidRDefault="005433F3" w:rsidP="005433F3">
      <w:pPr>
        <w:tabs>
          <w:tab w:val="right" w:pos="1080"/>
          <w:tab w:val="left" w:pos="1440"/>
          <w:tab w:val="left" w:pos="1800"/>
        </w:tabs>
        <w:ind w:left="1800" w:hanging="1800"/>
        <w:rPr>
          <w:szCs w:val="24"/>
        </w:rPr>
      </w:pPr>
      <w:r>
        <w:rPr>
          <w:i/>
          <w:szCs w:val="24"/>
        </w:rPr>
        <w:tab/>
        <w:t>VMA</w:t>
      </w:r>
      <w:r>
        <w:rPr>
          <w:i/>
          <w:szCs w:val="24"/>
        </w:rPr>
        <w:tab/>
        <w:t>=</w:t>
      </w:r>
      <w:r>
        <w:rPr>
          <w:i/>
          <w:szCs w:val="24"/>
        </w:rPr>
        <w:tab/>
      </w:r>
      <w:r w:rsidR="00DF35C4">
        <w:rPr>
          <w:szCs w:val="24"/>
        </w:rPr>
        <w:t>Voids in mineral aggregate</w:t>
      </w:r>
    </w:p>
    <w:p w:rsidR="005433F3" w:rsidRPr="0045477F" w:rsidRDefault="005433F3" w:rsidP="005433F3">
      <w:pPr>
        <w:tabs>
          <w:tab w:val="right" w:pos="1080"/>
          <w:tab w:val="left" w:pos="1440"/>
          <w:tab w:val="left" w:pos="1800"/>
        </w:tabs>
        <w:ind w:left="1800" w:hanging="1800"/>
        <w:rPr>
          <w:szCs w:val="24"/>
        </w:rPr>
      </w:pPr>
      <w:r>
        <w:rPr>
          <w:i/>
          <w:szCs w:val="24"/>
        </w:rPr>
        <w:tab/>
        <w:t>VFA</w:t>
      </w:r>
      <w:r>
        <w:rPr>
          <w:i/>
          <w:szCs w:val="24"/>
        </w:rPr>
        <w:tab/>
        <w:t>=</w:t>
      </w:r>
      <w:r>
        <w:rPr>
          <w:i/>
          <w:szCs w:val="24"/>
        </w:rPr>
        <w:tab/>
      </w:r>
      <w:r>
        <w:rPr>
          <w:szCs w:val="24"/>
        </w:rPr>
        <w:t>Voids</w:t>
      </w:r>
      <w:r w:rsidR="00DF35C4">
        <w:rPr>
          <w:szCs w:val="24"/>
        </w:rPr>
        <w:t xml:space="preserve"> filled with asphalt</w:t>
      </w:r>
    </w:p>
    <w:p w:rsidR="005433F3" w:rsidRDefault="005433F3" w:rsidP="005433F3">
      <w:pPr>
        <w:tabs>
          <w:tab w:val="right" w:pos="1080"/>
          <w:tab w:val="left" w:pos="1440"/>
          <w:tab w:val="left" w:pos="1800"/>
        </w:tabs>
        <w:adjustRightInd w:val="0"/>
        <w:rPr>
          <w:spacing w:val="-2"/>
        </w:rPr>
      </w:pPr>
      <w:r>
        <w:rPr>
          <w:spacing w:val="-2"/>
        </w:rPr>
        <w:tab/>
      </w:r>
      <w:r w:rsidRPr="005433F3">
        <w:rPr>
          <w:i/>
          <w:spacing w:val="-2"/>
        </w:rPr>
        <w:t>G</w:t>
      </w:r>
      <w:r>
        <w:rPr>
          <w:i/>
          <w:spacing w:val="-2"/>
          <w:vertAlign w:val="subscript"/>
        </w:rPr>
        <w:t>mb</w:t>
      </w:r>
      <w:r>
        <w:rPr>
          <w:spacing w:val="-2"/>
          <w:vertAlign w:val="subscript"/>
        </w:rPr>
        <w:tab/>
      </w:r>
      <w:r w:rsidR="00DF35C4">
        <w:rPr>
          <w:spacing w:val="-2"/>
        </w:rPr>
        <w:t>=</w:t>
      </w:r>
      <w:r w:rsidR="00DF35C4">
        <w:rPr>
          <w:spacing w:val="-2"/>
        </w:rPr>
        <w:tab/>
        <w:t>Bulk specific gravity</w:t>
      </w:r>
    </w:p>
    <w:p w:rsidR="005433F3" w:rsidRDefault="005433F3" w:rsidP="005433F3">
      <w:pPr>
        <w:tabs>
          <w:tab w:val="right" w:pos="1080"/>
          <w:tab w:val="left" w:pos="1440"/>
          <w:tab w:val="left" w:pos="1800"/>
        </w:tabs>
        <w:adjustRightInd w:val="0"/>
        <w:rPr>
          <w:spacing w:val="-2"/>
        </w:rPr>
      </w:pPr>
      <w:r>
        <w:rPr>
          <w:spacing w:val="-2"/>
        </w:rPr>
        <w:tab/>
      </w:r>
      <w:r w:rsidRPr="005433F3">
        <w:rPr>
          <w:i/>
          <w:spacing w:val="-2"/>
        </w:rPr>
        <w:t>G</w:t>
      </w:r>
      <w:r w:rsidRPr="005433F3">
        <w:rPr>
          <w:i/>
          <w:spacing w:val="-2"/>
          <w:vertAlign w:val="subscript"/>
        </w:rPr>
        <w:t>mm</w:t>
      </w:r>
      <w:r>
        <w:rPr>
          <w:spacing w:val="-2"/>
        </w:rPr>
        <w:tab/>
        <w:t>=</w:t>
      </w:r>
      <w:r>
        <w:rPr>
          <w:spacing w:val="-2"/>
        </w:rPr>
        <w:tab/>
        <w:t>Theor</w:t>
      </w:r>
      <w:r w:rsidR="00DF35C4">
        <w:rPr>
          <w:spacing w:val="-2"/>
        </w:rPr>
        <w:t>etical maximum specific gravity</w:t>
      </w:r>
    </w:p>
    <w:p w:rsidR="00AB6CA2" w:rsidRDefault="00AB6CA2" w:rsidP="005433F3">
      <w:pPr>
        <w:tabs>
          <w:tab w:val="right" w:pos="1080"/>
          <w:tab w:val="left" w:pos="1440"/>
          <w:tab w:val="left" w:pos="1800"/>
        </w:tabs>
        <w:adjustRightInd w:val="0"/>
        <w:rPr>
          <w:spacing w:val="-2"/>
        </w:rPr>
      </w:pPr>
      <w:r>
        <w:rPr>
          <w:spacing w:val="-2"/>
        </w:rPr>
        <w:tab/>
      </w:r>
      <w:r w:rsidRPr="005433F3">
        <w:rPr>
          <w:i/>
          <w:spacing w:val="-2"/>
        </w:rPr>
        <w:t>G</w:t>
      </w:r>
      <w:r w:rsidRPr="005433F3">
        <w:rPr>
          <w:i/>
          <w:spacing w:val="-2"/>
          <w:vertAlign w:val="subscript"/>
        </w:rPr>
        <w:t>sb</w:t>
      </w:r>
      <w:r w:rsidR="005433F3">
        <w:rPr>
          <w:spacing w:val="-2"/>
        </w:rPr>
        <w:tab/>
      </w:r>
      <w:r>
        <w:rPr>
          <w:spacing w:val="-2"/>
        </w:rPr>
        <w:t>=</w:t>
      </w:r>
      <w:r w:rsidR="005433F3">
        <w:rPr>
          <w:spacing w:val="-2"/>
        </w:rPr>
        <w:tab/>
        <w:t>B</w:t>
      </w:r>
      <w:r>
        <w:rPr>
          <w:spacing w:val="-2"/>
        </w:rPr>
        <w:t>ulk specific gravity of the aggregate</w:t>
      </w:r>
    </w:p>
    <w:p w:rsidR="00E06139" w:rsidRDefault="00E06139" w:rsidP="00E06139">
      <w:pPr>
        <w:tabs>
          <w:tab w:val="right" w:pos="1080"/>
          <w:tab w:val="left" w:pos="1440"/>
          <w:tab w:val="left" w:pos="1800"/>
        </w:tabs>
        <w:adjustRightInd w:val="0"/>
        <w:rPr>
          <w:spacing w:val="-2"/>
        </w:rPr>
      </w:pPr>
      <w:r>
        <w:rPr>
          <w:spacing w:val="-2"/>
        </w:rPr>
        <w:tab/>
      </w:r>
      <w:r w:rsidRPr="005433F3">
        <w:rPr>
          <w:i/>
          <w:spacing w:val="-2"/>
        </w:rPr>
        <w:t>P</w:t>
      </w:r>
      <w:r w:rsidRPr="005433F3">
        <w:rPr>
          <w:i/>
          <w:spacing w:val="-2"/>
          <w:vertAlign w:val="subscript"/>
        </w:rPr>
        <w:t>s</w:t>
      </w:r>
      <w:r>
        <w:rPr>
          <w:spacing w:val="-2"/>
          <w:vertAlign w:val="subscript"/>
        </w:rPr>
        <w:tab/>
      </w:r>
      <w:r>
        <w:rPr>
          <w:spacing w:val="-2"/>
        </w:rPr>
        <w:t>=</w:t>
      </w:r>
      <w:r>
        <w:rPr>
          <w:spacing w:val="-2"/>
        </w:rPr>
        <w:tab/>
      </w:r>
      <w:r w:rsidR="00DF35C4">
        <w:rPr>
          <w:spacing w:val="-2"/>
        </w:rPr>
        <w:t>Percent weight of the aggregate</w:t>
      </w:r>
    </w:p>
    <w:p w:rsidR="00AB6CA2" w:rsidRPr="006D1F17" w:rsidRDefault="00AB6CA2" w:rsidP="0045477F"/>
    <w:p w:rsidR="00AB6CA2" w:rsidRDefault="00AB6CA2" w:rsidP="00B808F4">
      <w:pPr>
        <w:pStyle w:val="Heading4"/>
      </w:pPr>
      <w:bookmarkStart w:id="86" w:name="_Toc295918635"/>
      <w:r>
        <w:t>Superpave Mixture Design</w:t>
      </w:r>
      <w:bookmarkEnd w:id="86"/>
    </w:p>
    <w:p w:rsidR="00AB6CA2" w:rsidRDefault="00AB6CA2" w:rsidP="006F331D">
      <w:r>
        <w:t xml:space="preserve">The Superpave mixture design method, as described in AASHTO M 323, </w:t>
      </w:r>
      <w:r>
        <w:rPr>
          <w:i/>
        </w:rPr>
        <w:t>Standard Specification for Superpave Volumetric Mixture Design</w:t>
      </w:r>
      <w:r>
        <w:t xml:space="preserve"> consists of the following five steps:</w:t>
      </w:r>
    </w:p>
    <w:p w:rsidR="00AB6CA2" w:rsidRDefault="00AB6CA2" w:rsidP="0045477F"/>
    <w:p w:rsidR="00AB6CA2" w:rsidRDefault="00AB6CA2" w:rsidP="005B140A">
      <w:pPr>
        <w:pStyle w:val="ListParagraph"/>
        <w:numPr>
          <w:ilvl w:val="0"/>
          <w:numId w:val="8"/>
        </w:numPr>
        <w:adjustRightInd w:val="0"/>
        <w:ind w:left="720"/>
        <w:rPr>
          <w:spacing w:val="-2"/>
        </w:rPr>
      </w:pPr>
      <w:r>
        <w:rPr>
          <w:spacing w:val="-2"/>
        </w:rPr>
        <w:t>Aggregate selection</w:t>
      </w:r>
      <w:r w:rsidR="00E0076F">
        <w:rPr>
          <w:spacing w:val="-2"/>
        </w:rPr>
        <w:t>.</w:t>
      </w:r>
    </w:p>
    <w:p w:rsidR="00AB6CA2" w:rsidRDefault="00AB6CA2" w:rsidP="005B140A">
      <w:pPr>
        <w:pStyle w:val="ListParagraph"/>
        <w:numPr>
          <w:ilvl w:val="0"/>
          <w:numId w:val="8"/>
        </w:numPr>
        <w:adjustRightInd w:val="0"/>
        <w:ind w:left="720"/>
        <w:rPr>
          <w:spacing w:val="-2"/>
        </w:rPr>
      </w:pPr>
      <w:r>
        <w:rPr>
          <w:spacing w:val="-2"/>
        </w:rPr>
        <w:t>Binder selection</w:t>
      </w:r>
      <w:r w:rsidR="00E0076F">
        <w:rPr>
          <w:spacing w:val="-2"/>
        </w:rPr>
        <w:t>.</w:t>
      </w:r>
    </w:p>
    <w:p w:rsidR="00AB6CA2" w:rsidRDefault="00AB6CA2" w:rsidP="005B140A">
      <w:pPr>
        <w:pStyle w:val="ListParagraph"/>
        <w:numPr>
          <w:ilvl w:val="0"/>
          <w:numId w:val="8"/>
        </w:numPr>
        <w:adjustRightInd w:val="0"/>
        <w:ind w:left="720"/>
        <w:rPr>
          <w:spacing w:val="-2"/>
        </w:rPr>
      </w:pPr>
      <w:r>
        <w:rPr>
          <w:spacing w:val="-2"/>
        </w:rPr>
        <w:t>Determine design aggregate structure</w:t>
      </w:r>
      <w:r w:rsidR="00E0076F">
        <w:rPr>
          <w:spacing w:val="-2"/>
        </w:rPr>
        <w:t>.</w:t>
      </w:r>
    </w:p>
    <w:p w:rsidR="00AB6CA2" w:rsidRDefault="00AB6CA2" w:rsidP="005B140A">
      <w:pPr>
        <w:pStyle w:val="ListParagraph"/>
        <w:numPr>
          <w:ilvl w:val="0"/>
          <w:numId w:val="8"/>
        </w:numPr>
        <w:adjustRightInd w:val="0"/>
        <w:ind w:left="720"/>
        <w:rPr>
          <w:spacing w:val="-2"/>
        </w:rPr>
      </w:pPr>
      <w:r>
        <w:rPr>
          <w:spacing w:val="-2"/>
        </w:rPr>
        <w:t>Determine design binder content</w:t>
      </w:r>
      <w:r w:rsidR="00E0076F">
        <w:rPr>
          <w:spacing w:val="-2"/>
        </w:rPr>
        <w:t>.</w:t>
      </w:r>
    </w:p>
    <w:p w:rsidR="00AB6CA2" w:rsidRDefault="00AB6CA2" w:rsidP="005B140A">
      <w:pPr>
        <w:pStyle w:val="ListParagraph"/>
        <w:numPr>
          <w:ilvl w:val="0"/>
          <w:numId w:val="8"/>
        </w:numPr>
        <w:adjustRightInd w:val="0"/>
        <w:ind w:left="720"/>
        <w:rPr>
          <w:spacing w:val="-2"/>
        </w:rPr>
      </w:pPr>
      <w:r>
        <w:rPr>
          <w:spacing w:val="-2"/>
        </w:rPr>
        <w:t>Evaluate moisture susceptibility</w:t>
      </w:r>
      <w:r w:rsidR="00E0076F">
        <w:rPr>
          <w:spacing w:val="-2"/>
        </w:rPr>
        <w:t>.</w:t>
      </w:r>
    </w:p>
    <w:p w:rsidR="00AB6CA2" w:rsidRDefault="00AB6CA2" w:rsidP="00E0076F"/>
    <w:p w:rsidR="00AB6CA2" w:rsidRDefault="00AB6CA2" w:rsidP="00B808F4">
      <w:pPr>
        <w:pStyle w:val="Heading5"/>
      </w:pPr>
      <w:r>
        <w:t xml:space="preserve">Aggregate </w:t>
      </w:r>
      <w:r w:rsidR="00B808F4">
        <w:t>S</w:t>
      </w:r>
      <w:r>
        <w:t>election</w:t>
      </w:r>
    </w:p>
    <w:p w:rsidR="00AB6CA2" w:rsidRDefault="00AB6CA2" w:rsidP="006F331D">
      <w:r>
        <w:t>Aggregates used in Superpave mixture design must be well graded.  It is recommended that the 0.45 power curve be used, with standard gradations set for nominal maximum aggregate sizes of 1.5 in</w:t>
      </w:r>
      <w:r w:rsidR="00C630EE">
        <w:t xml:space="preserve">, </w:t>
      </w:r>
      <w:r>
        <w:t xml:space="preserve">1 in, 0.75 in, 0.5 in, and 0.375 in.  Control points are established, such as shown </w:t>
      </w:r>
      <w:r w:rsidR="00B808F4">
        <w:t>i</w:t>
      </w:r>
      <w:r>
        <w:t>n</w:t>
      </w:r>
      <w:r w:rsidR="002918A7">
        <w:t xml:space="preserve"> </w:t>
      </w:r>
      <w:r w:rsidR="00AA7638">
        <w:t>Figure 3-14,</w:t>
      </w:r>
      <w:r>
        <w:t xml:space="preserve"> in which the design aggregate gradation should pass through.  In addition, the following consensus aggregate properties are required:</w:t>
      </w:r>
    </w:p>
    <w:p w:rsidR="00AB6CA2" w:rsidRDefault="00AB6CA2" w:rsidP="006F331D"/>
    <w:p w:rsidR="00AB6CA2" w:rsidRDefault="00AB6CA2" w:rsidP="005B140A">
      <w:pPr>
        <w:pStyle w:val="ListParagraph"/>
        <w:numPr>
          <w:ilvl w:val="0"/>
          <w:numId w:val="7"/>
        </w:numPr>
        <w:adjustRightInd w:val="0"/>
        <w:ind w:left="720"/>
        <w:rPr>
          <w:spacing w:val="-2"/>
        </w:rPr>
      </w:pPr>
      <w:r>
        <w:rPr>
          <w:spacing w:val="-2"/>
        </w:rPr>
        <w:t xml:space="preserve">Coarse aggregate angularity – measures the percentage of fractured faces, in accordance with AASHTO T 335, </w:t>
      </w:r>
      <w:r>
        <w:rPr>
          <w:i/>
          <w:spacing w:val="-2"/>
        </w:rPr>
        <w:t xml:space="preserve">Standard Method of Test for Determining the Percentage of Fracture in Coarse Aggregate.  </w:t>
      </w:r>
      <w:r>
        <w:rPr>
          <w:spacing w:val="-2"/>
        </w:rPr>
        <w:t>Higher percentage of fracture results in increased mix resistance to rutting.</w:t>
      </w:r>
    </w:p>
    <w:p w:rsidR="00AB6CA2" w:rsidRDefault="00AB6CA2" w:rsidP="005B140A">
      <w:pPr>
        <w:pStyle w:val="ListParagraph"/>
        <w:numPr>
          <w:ilvl w:val="0"/>
          <w:numId w:val="7"/>
        </w:numPr>
        <w:adjustRightInd w:val="0"/>
        <w:ind w:left="720"/>
        <w:rPr>
          <w:spacing w:val="-2"/>
        </w:rPr>
      </w:pPr>
      <w:r>
        <w:rPr>
          <w:spacing w:val="-2"/>
        </w:rPr>
        <w:t xml:space="preserve">Fine aggregate angularity – Assesses the angularity of fine aggregate in accordance with AASHTO T 304, </w:t>
      </w:r>
      <w:r>
        <w:rPr>
          <w:i/>
          <w:spacing w:val="-2"/>
        </w:rPr>
        <w:t>Standard Method of Test for Uncompacted Void Content of Fine Aggregate (Fine Aggregate Angularity Test).</w:t>
      </w:r>
      <w:r>
        <w:rPr>
          <w:spacing w:val="-2"/>
        </w:rPr>
        <w:t xml:space="preserve"> </w:t>
      </w:r>
      <w:r w:rsidR="00E0076F">
        <w:rPr>
          <w:spacing w:val="-2"/>
        </w:rPr>
        <w:t xml:space="preserve"> </w:t>
      </w:r>
      <w:r>
        <w:rPr>
          <w:spacing w:val="-2"/>
        </w:rPr>
        <w:t>Higher angularity results in increased resistance to rutting.</w:t>
      </w:r>
    </w:p>
    <w:p w:rsidR="00AB6CA2" w:rsidRDefault="00AB6CA2" w:rsidP="005B140A">
      <w:pPr>
        <w:pStyle w:val="ListParagraph"/>
        <w:numPr>
          <w:ilvl w:val="0"/>
          <w:numId w:val="7"/>
        </w:numPr>
        <w:adjustRightInd w:val="0"/>
        <w:ind w:left="720"/>
        <w:rPr>
          <w:spacing w:val="-2"/>
        </w:rPr>
      </w:pPr>
      <w:r>
        <w:rPr>
          <w:spacing w:val="-2"/>
        </w:rPr>
        <w:t>Flat and elongated particles – Assess coarse aggregate particle shape in accordance with ASTM D4791.</w:t>
      </w:r>
    </w:p>
    <w:p w:rsidR="00AB6CA2" w:rsidRPr="006B1C2E" w:rsidRDefault="00AB6CA2" w:rsidP="005B140A">
      <w:pPr>
        <w:pStyle w:val="ListParagraph"/>
        <w:numPr>
          <w:ilvl w:val="0"/>
          <w:numId w:val="7"/>
        </w:numPr>
        <w:adjustRightInd w:val="0"/>
        <w:ind w:left="720"/>
        <w:rPr>
          <w:spacing w:val="-2"/>
        </w:rPr>
      </w:pPr>
      <w:r>
        <w:rPr>
          <w:spacing w:val="-2"/>
        </w:rPr>
        <w:t xml:space="preserve">Sand equivalent test – Measure of clay content in fine aggregate in accordance with AASHTO T 176, </w:t>
      </w:r>
      <w:r>
        <w:rPr>
          <w:i/>
          <w:spacing w:val="-2"/>
        </w:rPr>
        <w:t xml:space="preserve">Standard Method of Test for </w:t>
      </w:r>
      <w:r w:rsidRPr="006B1C2E">
        <w:rPr>
          <w:i/>
        </w:rPr>
        <w:t>Plastic Fines in Graded Aggregates and Soils by Use of the Sand Equivalent Test</w:t>
      </w:r>
      <w:r>
        <w:rPr>
          <w:i/>
        </w:rPr>
        <w:t xml:space="preserve">. </w:t>
      </w:r>
      <w:r>
        <w:t xml:space="preserve"> High clay content is thought to relate to moisture susceptibility.</w:t>
      </w:r>
    </w:p>
    <w:p w:rsidR="00AB6CA2" w:rsidRDefault="00AB6CA2" w:rsidP="00AB6CA2">
      <w:pPr>
        <w:adjustRightInd w:val="0"/>
        <w:rPr>
          <w:spacing w:val="-2"/>
        </w:rPr>
      </w:pPr>
    </w:p>
    <w:p w:rsidR="00AB6CA2" w:rsidRDefault="00AB6CA2" w:rsidP="00AB6CA2">
      <w:pPr>
        <w:adjustRightInd w:val="0"/>
        <w:jc w:val="center"/>
        <w:rPr>
          <w:spacing w:val="-2"/>
        </w:rPr>
      </w:pPr>
      <w:r>
        <w:rPr>
          <w:noProof/>
          <w:spacing w:val="-2"/>
        </w:rPr>
        <w:drawing>
          <wp:inline distT="0" distB="0" distL="0" distR="0">
            <wp:extent cx="3840480" cy="2450578"/>
            <wp:effectExtent l="19050" t="0" r="762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a:stretch>
                      <a:fillRect/>
                    </a:stretch>
                  </pic:blipFill>
                  <pic:spPr bwMode="auto">
                    <a:xfrm>
                      <a:off x="0" y="0"/>
                      <a:ext cx="3840480" cy="2450578"/>
                    </a:xfrm>
                    <a:prstGeom prst="rect">
                      <a:avLst/>
                    </a:prstGeom>
                    <a:noFill/>
                    <a:ln w="9525">
                      <a:noFill/>
                      <a:miter lim="800000"/>
                      <a:headEnd/>
                      <a:tailEnd/>
                    </a:ln>
                  </pic:spPr>
                </pic:pic>
              </a:graphicData>
            </a:graphic>
          </wp:inline>
        </w:drawing>
      </w:r>
    </w:p>
    <w:p w:rsidR="00AB6CA2" w:rsidRPr="00792C38" w:rsidRDefault="00B808F4" w:rsidP="004B4E81">
      <w:pPr>
        <w:pStyle w:val="APTechFigureCaption"/>
      </w:pPr>
      <w:bookmarkStart w:id="87" w:name="_Ref274556668"/>
      <w:bookmarkStart w:id="88" w:name="f18"/>
      <w:bookmarkStart w:id="89" w:name="_Toc295918042"/>
      <w:r>
        <w:t>Figure</w:t>
      </w:r>
      <w:bookmarkEnd w:id="87"/>
      <w:r w:rsidR="00F3038B">
        <w:t xml:space="preserve"> 3-1</w:t>
      </w:r>
      <w:bookmarkEnd w:id="88"/>
      <w:r w:rsidR="00CC4DEE">
        <w:t>4</w:t>
      </w:r>
      <w:r w:rsidR="00AB6CA2">
        <w:t xml:space="preserve">. </w:t>
      </w:r>
      <w:r>
        <w:t xml:space="preserve"> </w:t>
      </w:r>
      <w:r w:rsidR="00AB6CA2">
        <w:t>Superpave gradation control plot for 12.5 mm nominal maximum aggregate size</w:t>
      </w:r>
      <w:r w:rsidR="003F4EF0">
        <w:t xml:space="preserve"> (Huber n.d.)</w:t>
      </w:r>
      <w:r w:rsidR="00AB6CA2">
        <w:t>.</w:t>
      </w:r>
      <w:bookmarkEnd w:id="89"/>
      <w:r w:rsidR="001D4C27">
        <w:t xml:space="preserve">  </w:t>
      </w:r>
      <w:r w:rsidR="001D4C27" w:rsidRPr="001D4C27">
        <w:rPr>
          <w:color w:val="FF0000"/>
        </w:rPr>
        <w:t>Note: the restricted zone is no longer required.</w:t>
      </w:r>
    </w:p>
    <w:p w:rsidR="00AB6CA2" w:rsidRDefault="00AB6CA2" w:rsidP="00AB6CA2">
      <w:pPr>
        <w:adjustRightInd w:val="0"/>
        <w:rPr>
          <w:spacing w:val="-2"/>
        </w:rPr>
      </w:pPr>
    </w:p>
    <w:p w:rsidR="000413D4" w:rsidRDefault="000413D4" w:rsidP="00AB6CA2">
      <w:pPr>
        <w:adjustRightInd w:val="0"/>
        <w:rPr>
          <w:spacing w:val="-2"/>
        </w:rPr>
      </w:pPr>
    </w:p>
    <w:p w:rsidR="00AB6CA2" w:rsidRDefault="00F3038B" w:rsidP="006F331D">
      <w:r>
        <w:t xml:space="preserve">Table </w:t>
      </w:r>
      <w:r w:rsidR="00A806A8">
        <w:t xml:space="preserve">3-9 </w:t>
      </w:r>
      <w:r w:rsidR="00AB6CA2">
        <w:t>summarizes the recommended Superpave aggregate consensus properties.</w:t>
      </w:r>
    </w:p>
    <w:p w:rsidR="000413D4" w:rsidRDefault="000413D4" w:rsidP="006F331D"/>
    <w:p w:rsidR="00AB6CA2" w:rsidRDefault="00B808F4" w:rsidP="00B808F4">
      <w:pPr>
        <w:pStyle w:val="Heading9"/>
      </w:pPr>
      <w:bookmarkStart w:id="90" w:name="_Toc295918117"/>
      <w:r>
        <w:t>Table</w:t>
      </w:r>
      <w:r w:rsidR="00C11CBD">
        <w:t xml:space="preserve"> </w:t>
      </w:r>
      <w:bookmarkStart w:id="91" w:name="t10"/>
      <w:r w:rsidR="00F3038B">
        <w:t>3-</w:t>
      </w:r>
      <w:bookmarkEnd w:id="91"/>
      <w:r w:rsidR="00CC4DEE">
        <w:t>9</w:t>
      </w:r>
      <w:r w:rsidR="00AB6CA2">
        <w:t xml:space="preserve">. </w:t>
      </w:r>
      <w:r>
        <w:t xml:space="preserve"> </w:t>
      </w:r>
      <w:r w:rsidR="00AB6CA2">
        <w:t>Recommended Superpave aggregate consensus properties.</w:t>
      </w:r>
      <w:bookmarkEnd w:id="90"/>
    </w:p>
    <w:tbl>
      <w:tblPr>
        <w:tblStyle w:val="TableGrid"/>
        <w:tblW w:w="8660" w:type="dxa"/>
        <w:jc w:val="center"/>
        <w:tblInd w:w="1008" w:type="dxa"/>
        <w:tblBorders>
          <w:top w:val="double" w:sz="4" w:space="0" w:color="auto"/>
          <w:left w:val="double" w:sz="4" w:space="0" w:color="auto"/>
          <w:bottom w:val="double" w:sz="4" w:space="0" w:color="auto"/>
          <w:right w:val="double" w:sz="4" w:space="0" w:color="auto"/>
          <w:insideH w:val="single" w:sz="4" w:space="0" w:color="000000" w:themeColor="text1"/>
          <w:insideV w:val="single" w:sz="4" w:space="0" w:color="000000" w:themeColor="text1"/>
        </w:tblBorders>
        <w:tblLook w:val="04A0" w:firstRow="1" w:lastRow="0" w:firstColumn="1" w:lastColumn="0" w:noHBand="0" w:noVBand="1"/>
      </w:tblPr>
      <w:tblGrid>
        <w:gridCol w:w="1826"/>
        <w:gridCol w:w="1689"/>
        <w:gridCol w:w="1689"/>
        <w:gridCol w:w="1728"/>
        <w:gridCol w:w="1728"/>
      </w:tblGrid>
      <w:tr w:rsidR="00AB6CA2" w:rsidTr="00AA7638">
        <w:trPr>
          <w:jc w:val="center"/>
        </w:trPr>
        <w:tc>
          <w:tcPr>
            <w:tcW w:w="1826" w:type="dxa"/>
            <w:tcBorders>
              <w:top w:val="double" w:sz="4" w:space="0" w:color="auto"/>
              <w:bottom w:val="double" w:sz="4" w:space="0" w:color="auto"/>
            </w:tcBorders>
            <w:vAlign w:val="center"/>
          </w:tcPr>
          <w:p w:rsidR="00AB6CA2" w:rsidRPr="006B1C2E" w:rsidRDefault="00AB6CA2" w:rsidP="00B808F4">
            <w:pPr>
              <w:adjustRightInd w:val="0"/>
              <w:jc w:val="center"/>
              <w:rPr>
                <w:b/>
                <w:spacing w:val="-2"/>
              </w:rPr>
            </w:pPr>
            <w:r w:rsidRPr="006B1C2E">
              <w:rPr>
                <w:b/>
                <w:spacing w:val="-2"/>
              </w:rPr>
              <w:t>Design Level</w:t>
            </w:r>
          </w:p>
        </w:tc>
        <w:tc>
          <w:tcPr>
            <w:tcW w:w="1689" w:type="dxa"/>
            <w:tcBorders>
              <w:top w:val="double" w:sz="4" w:space="0" w:color="auto"/>
              <w:bottom w:val="double" w:sz="4" w:space="0" w:color="auto"/>
            </w:tcBorders>
            <w:vAlign w:val="center"/>
          </w:tcPr>
          <w:p w:rsidR="00AB6CA2" w:rsidRPr="006B1C2E" w:rsidRDefault="00AB6CA2" w:rsidP="00B808F4">
            <w:pPr>
              <w:adjustRightInd w:val="0"/>
              <w:jc w:val="center"/>
              <w:rPr>
                <w:b/>
                <w:spacing w:val="-2"/>
              </w:rPr>
            </w:pPr>
            <w:r w:rsidRPr="006B1C2E">
              <w:rPr>
                <w:b/>
                <w:spacing w:val="-2"/>
              </w:rPr>
              <w:t>Coarse Aggregate Angularity</w:t>
            </w:r>
          </w:p>
          <w:p w:rsidR="00AB6CA2" w:rsidRPr="006B1C2E" w:rsidRDefault="00AB6CA2" w:rsidP="00B808F4">
            <w:pPr>
              <w:adjustRightInd w:val="0"/>
              <w:jc w:val="center"/>
              <w:rPr>
                <w:b/>
                <w:spacing w:val="-2"/>
              </w:rPr>
            </w:pPr>
            <w:r w:rsidRPr="006B1C2E">
              <w:rPr>
                <w:b/>
                <w:spacing w:val="-2"/>
              </w:rPr>
              <w:t>(% minimum)</w:t>
            </w:r>
          </w:p>
        </w:tc>
        <w:tc>
          <w:tcPr>
            <w:tcW w:w="1689" w:type="dxa"/>
            <w:tcBorders>
              <w:top w:val="double" w:sz="4" w:space="0" w:color="auto"/>
              <w:bottom w:val="double" w:sz="4" w:space="0" w:color="auto"/>
            </w:tcBorders>
            <w:vAlign w:val="center"/>
          </w:tcPr>
          <w:p w:rsidR="00AB6CA2" w:rsidRPr="006B1C2E" w:rsidRDefault="00AB6CA2" w:rsidP="00B808F4">
            <w:pPr>
              <w:adjustRightInd w:val="0"/>
              <w:jc w:val="center"/>
              <w:rPr>
                <w:b/>
                <w:spacing w:val="-2"/>
              </w:rPr>
            </w:pPr>
            <w:r w:rsidRPr="006B1C2E">
              <w:rPr>
                <w:b/>
                <w:spacing w:val="-2"/>
              </w:rPr>
              <w:t>Fine Aggregate Angularity</w:t>
            </w:r>
          </w:p>
          <w:p w:rsidR="00AB6CA2" w:rsidRPr="006B1C2E" w:rsidRDefault="00AB6CA2" w:rsidP="00B808F4">
            <w:pPr>
              <w:adjustRightInd w:val="0"/>
              <w:jc w:val="center"/>
              <w:rPr>
                <w:b/>
                <w:spacing w:val="-2"/>
              </w:rPr>
            </w:pPr>
            <w:r w:rsidRPr="006B1C2E">
              <w:rPr>
                <w:b/>
                <w:spacing w:val="-2"/>
              </w:rPr>
              <w:t>(% minimum)</w:t>
            </w:r>
          </w:p>
        </w:tc>
        <w:tc>
          <w:tcPr>
            <w:tcW w:w="1728" w:type="dxa"/>
            <w:tcBorders>
              <w:top w:val="double" w:sz="4" w:space="0" w:color="auto"/>
              <w:bottom w:val="double" w:sz="4" w:space="0" w:color="auto"/>
            </w:tcBorders>
            <w:vAlign w:val="center"/>
          </w:tcPr>
          <w:p w:rsidR="00AB6CA2" w:rsidRPr="006B1C2E" w:rsidRDefault="00AB6CA2" w:rsidP="00B808F4">
            <w:pPr>
              <w:adjustRightInd w:val="0"/>
              <w:jc w:val="center"/>
              <w:rPr>
                <w:b/>
                <w:spacing w:val="-2"/>
              </w:rPr>
            </w:pPr>
            <w:r w:rsidRPr="006B1C2E">
              <w:rPr>
                <w:b/>
                <w:spacing w:val="-2"/>
              </w:rPr>
              <w:t>Flat and Elongated</w:t>
            </w:r>
          </w:p>
          <w:p w:rsidR="00AB6CA2" w:rsidRPr="006B1C2E" w:rsidRDefault="00AB6CA2" w:rsidP="00AA7638">
            <w:pPr>
              <w:adjustRightInd w:val="0"/>
              <w:jc w:val="center"/>
              <w:rPr>
                <w:b/>
                <w:spacing w:val="-2"/>
              </w:rPr>
            </w:pPr>
            <w:r w:rsidRPr="006B1C2E">
              <w:rPr>
                <w:b/>
                <w:spacing w:val="-2"/>
              </w:rPr>
              <w:t>(% m</w:t>
            </w:r>
            <w:r w:rsidR="00AA7638">
              <w:rPr>
                <w:b/>
                <w:spacing w:val="-2"/>
              </w:rPr>
              <w:t>axi</w:t>
            </w:r>
            <w:r w:rsidRPr="006B1C2E">
              <w:rPr>
                <w:b/>
                <w:spacing w:val="-2"/>
              </w:rPr>
              <w:t>mum)</w:t>
            </w:r>
          </w:p>
        </w:tc>
        <w:tc>
          <w:tcPr>
            <w:tcW w:w="1728" w:type="dxa"/>
            <w:tcBorders>
              <w:top w:val="double" w:sz="4" w:space="0" w:color="auto"/>
              <w:bottom w:val="double" w:sz="4" w:space="0" w:color="auto"/>
            </w:tcBorders>
            <w:vAlign w:val="center"/>
          </w:tcPr>
          <w:p w:rsidR="00AB6CA2" w:rsidRPr="006B1C2E" w:rsidRDefault="00AB6CA2" w:rsidP="00B808F4">
            <w:pPr>
              <w:adjustRightInd w:val="0"/>
              <w:jc w:val="center"/>
              <w:rPr>
                <w:b/>
                <w:spacing w:val="-2"/>
              </w:rPr>
            </w:pPr>
            <w:r w:rsidRPr="006B1C2E">
              <w:rPr>
                <w:b/>
                <w:spacing w:val="-2"/>
              </w:rPr>
              <w:t>Sand</w:t>
            </w:r>
            <w:r w:rsidRPr="006B1C2E">
              <w:rPr>
                <w:b/>
                <w:i/>
                <w:spacing w:val="-2"/>
              </w:rPr>
              <w:t xml:space="preserve"> </w:t>
            </w:r>
            <w:r w:rsidRPr="006B1C2E">
              <w:rPr>
                <w:b/>
                <w:spacing w:val="-2"/>
              </w:rPr>
              <w:t>Equivalent</w:t>
            </w:r>
          </w:p>
          <w:p w:rsidR="00AB6CA2" w:rsidRPr="006B1C2E" w:rsidRDefault="00AB6CA2" w:rsidP="00B808F4">
            <w:pPr>
              <w:adjustRightInd w:val="0"/>
              <w:jc w:val="center"/>
              <w:rPr>
                <w:b/>
                <w:spacing w:val="-2"/>
              </w:rPr>
            </w:pPr>
            <w:r w:rsidRPr="006B1C2E">
              <w:rPr>
                <w:b/>
                <w:spacing w:val="-2"/>
              </w:rPr>
              <w:t>(% minimum)</w:t>
            </w:r>
          </w:p>
        </w:tc>
      </w:tr>
      <w:tr w:rsidR="00AB6CA2" w:rsidTr="00AA7638">
        <w:trPr>
          <w:jc w:val="center"/>
        </w:trPr>
        <w:tc>
          <w:tcPr>
            <w:tcW w:w="1826" w:type="dxa"/>
            <w:tcBorders>
              <w:top w:val="double" w:sz="4" w:space="0" w:color="auto"/>
            </w:tcBorders>
          </w:tcPr>
          <w:p w:rsidR="00AB6CA2" w:rsidRDefault="00AB6CA2" w:rsidP="00AB6CA2">
            <w:pPr>
              <w:adjustRightInd w:val="0"/>
              <w:jc w:val="center"/>
              <w:rPr>
                <w:spacing w:val="-2"/>
              </w:rPr>
            </w:pPr>
            <w:r>
              <w:rPr>
                <w:spacing w:val="-2"/>
              </w:rPr>
              <w:t>Light Traffic</w:t>
            </w:r>
          </w:p>
        </w:tc>
        <w:tc>
          <w:tcPr>
            <w:tcW w:w="1689" w:type="dxa"/>
            <w:tcBorders>
              <w:top w:val="double" w:sz="4" w:space="0" w:color="auto"/>
            </w:tcBorders>
          </w:tcPr>
          <w:p w:rsidR="00AB6CA2" w:rsidRDefault="00AB6CA2" w:rsidP="00AB6CA2">
            <w:pPr>
              <w:adjustRightInd w:val="0"/>
              <w:jc w:val="center"/>
              <w:rPr>
                <w:spacing w:val="-2"/>
              </w:rPr>
            </w:pPr>
            <w:r>
              <w:rPr>
                <w:spacing w:val="-2"/>
              </w:rPr>
              <w:t>55/-</w:t>
            </w:r>
          </w:p>
        </w:tc>
        <w:tc>
          <w:tcPr>
            <w:tcW w:w="1689" w:type="dxa"/>
            <w:tcBorders>
              <w:top w:val="double" w:sz="4" w:space="0" w:color="auto"/>
            </w:tcBorders>
          </w:tcPr>
          <w:p w:rsidR="00AB6CA2" w:rsidRDefault="00B808F4" w:rsidP="00AB6CA2">
            <w:pPr>
              <w:adjustRightInd w:val="0"/>
              <w:jc w:val="center"/>
              <w:rPr>
                <w:spacing w:val="-2"/>
              </w:rPr>
            </w:pPr>
            <w:r>
              <w:rPr>
                <w:spacing w:val="-2"/>
              </w:rPr>
              <w:t>–</w:t>
            </w:r>
          </w:p>
        </w:tc>
        <w:tc>
          <w:tcPr>
            <w:tcW w:w="1728" w:type="dxa"/>
            <w:tcBorders>
              <w:top w:val="double" w:sz="4" w:space="0" w:color="auto"/>
            </w:tcBorders>
          </w:tcPr>
          <w:p w:rsidR="00AB6CA2" w:rsidRDefault="00B808F4" w:rsidP="00AB6CA2">
            <w:pPr>
              <w:adjustRightInd w:val="0"/>
              <w:jc w:val="center"/>
              <w:rPr>
                <w:spacing w:val="-2"/>
              </w:rPr>
            </w:pPr>
            <w:r>
              <w:rPr>
                <w:spacing w:val="-2"/>
              </w:rPr>
              <w:t>–</w:t>
            </w:r>
          </w:p>
        </w:tc>
        <w:tc>
          <w:tcPr>
            <w:tcW w:w="1728" w:type="dxa"/>
            <w:tcBorders>
              <w:top w:val="double" w:sz="4" w:space="0" w:color="auto"/>
            </w:tcBorders>
          </w:tcPr>
          <w:p w:rsidR="00AB6CA2" w:rsidRDefault="00AB6CA2" w:rsidP="00AB6CA2">
            <w:pPr>
              <w:adjustRightInd w:val="0"/>
              <w:jc w:val="center"/>
              <w:rPr>
                <w:spacing w:val="-2"/>
              </w:rPr>
            </w:pPr>
            <w:r>
              <w:rPr>
                <w:spacing w:val="-2"/>
              </w:rPr>
              <w:t>40</w:t>
            </w:r>
          </w:p>
        </w:tc>
      </w:tr>
      <w:tr w:rsidR="00AB6CA2" w:rsidTr="00AA7638">
        <w:trPr>
          <w:jc w:val="center"/>
        </w:trPr>
        <w:tc>
          <w:tcPr>
            <w:tcW w:w="1826" w:type="dxa"/>
          </w:tcPr>
          <w:p w:rsidR="00AB6CA2" w:rsidRDefault="00AB6CA2" w:rsidP="00AB6CA2">
            <w:pPr>
              <w:adjustRightInd w:val="0"/>
              <w:jc w:val="center"/>
              <w:rPr>
                <w:spacing w:val="-2"/>
              </w:rPr>
            </w:pPr>
            <w:r>
              <w:rPr>
                <w:spacing w:val="-2"/>
              </w:rPr>
              <w:t>Medium Traffic</w:t>
            </w:r>
          </w:p>
        </w:tc>
        <w:tc>
          <w:tcPr>
            <w:tcW w:w="1689" w:type="dxa"/>
          </w:tcPr>
          <w:p w:rsidR="00AB6CA2" w:rsidRDefault="00AB6CA2" w:rsidP="00AB6CA2">
            <w:pPr>
              <w:adjustRightInd w:val="0"/>
              <w:jc w:val="center"/>
              <w:rPr>
                <w:spacing w:val="-2"/>
              </w:rPr>
            </w:pPr>
            <w:r>
              <w:rPr>
                <w:spacing w:val="-2"/>
              </w:rPr>
              <w:t>75/-</w:t>
            </w:r>
          </w:p>
        </w:tc>
        <w:tc>
          <w:tcPr>
            <w:tcW w:w="1689" w:type="dxa"/>
          </w:tcPr>
          <w:p w:rsidR="00AB6CA2" w:rsidRDefault="00AB6CA2" w:rsidP="00AB6CA2">
            <w:pPr>
              <w:adjustRightInd w:val="0"/>
              <w:jc w:val="center"/>
              <w:rPr>
                <w:spacing w:val="-2"/>
              </w:rPr>
            </w:pPr>
            <w:r>
              <w:rPr>
                <w:spacing w:val="-2"/>
              </w:rPr>
              <w:t>40</w:t>
            </w:r>
          </w:p>
        </w:tc>
        <w:tc>
          <w:tcPr>
            <w:tcW w:w="1728" w:type="dxa"/>
          </w:tcPr>
          <w:p w:rsidR="00AB6CA2" w:rsidRDefault="00AB6CA2" w:rsidP="00AB6CA2">
            <w:pPr>
              <w:adjustRightInd w:val="0"/>
              <w:jc w:val="center"/>
              <w:rPr>
                <w:spacing w:val="-2"/>
              </w:rPr>
            </w:pPr>
            <w:r>
              <w:rPr>
                <w:spacing w:val="-2"/>
              </w:rPr>
              <w:t>10</w:t>
            </w:r>
          </w:p>
        </w:tc>
        <w:tc>
          <w:tcPr>
            <w:tcW w:w="1728" w:type="dxa"/>
          </w:tcPr>
          <w:p w:rsidR="00AB6CA2" w:rsidRDefault="00AB6CA2" w:rsidP="00AB6CA2">
            <w:pPr>
              <w:adjustRightInd w:val="0"/>
              <w:jc w:val="center"/>
              <w:rPr>
                <w:spacing w:val="-2"/>
              </w:rPr>
            </w:pPr>
            <w:r>
              <w:rPr>
                <w:spacing w:val="-2"/>
              </w:rPr>
              <w:t>40</w:t>
            </w:r>
          </w:p>
        </w:tc>
      </w:tr>
      <w:tr w:rsidR="00AB6CA2" w:rsidTr="00AA7638">
        <w:trPr>
          <w:jc w:val="center"/>
        </w:trPr>
        <w:tc>
          <w:tcPr>
            <w:tcW w:w="1826" w:type="dxa"/>
          </w:tcPr>
          <w:p w:rsidR="00AB6CA2" w:rsidRDefault="00AB6CA2" w:rsidP="00AB6CA2">
            <w:pPr>
              <w:adjustRightInd w:val="0"/>
              <w:jc w:val="center"/>
              <w:rPr>
                <w:spacing w:val="-2"/>
              </w:rPr>
            </w:pPr>
            <w:r>
              <w:rPr>
                <w:spacing w:val="-2"/>
              </w:rPr>
              <w:t>Heavy Traffic</w:t>
            </w:r>
          </w:p>
        </w:tc>
        <w:tc>
          <w:tcPr>
            <w:tcW w:w="1689" w:type="dxa"/>
          </w:tcPr>
          <w:p w:rsidR="00AB6CA2" w:rsidRPr="00D36015" w:rsidRDefault="00AB6CA2" w:rsidP="00AB6CA2">
            <w:pPr>
              <w:adjustRightInd w:val="0"/>
              <w:jc w:val="center"/>
              <w:rPr>
                <w:spacing w:val="-2"/>
                <w:vertAlign w:val="superscript"/>
              </w:rPr>
            </w:pPr>
            <w:r>
              <w:rPr>
                <w:spacing w:val="-2"/>
              </w:rPr>
              <w:t>85/80</w:t>
            </w:r>
            <w:r>
              <w:rPr>
                <w:spacing w:val="-2"/>
                <w:vertAlign w:val="superscript"/>
              </w:rPr>
              <w:t>*</w:t>
            </w:r>
          </w:p>
        </w:tc>
        <w:tc>
          <w:tcPr>
            <w:tcW w:w="1689" w:type="dxa"/>
          </w:tcPr>
          <w:p w:rsidR="00AB6CA2" w:rsidRDefault="00AB6CA2" w:rsidP="00AB6CA2">
            <w:pPr>
              <w:adjustRightInd w:val="0"/>
              <w:jc w:val="center"/>
              <w:rPr>
                <w:spacing w:val="-2"/>
              </w:rPr>
            </w:pPr>
            <w:r>
              <w:rPr>
                <w:spacing w:val="-2"/>
              </w:rPr>
              <w:t>45</w:t>
            </w:r>
          </w:p>
        </w:tc>
        <w:tc>
          <w:tcPr>
            <w:tcW w:w="1728" w:type="dxa"/>
          </w:tcPr>
          <w:p w:rsidR="00AB6CA2" w:rsidRDefault="00AB6CA2" w:rsidP="00AB6CA2">
            <w:pPr>
              <w:adjustRightInd w:val="0"/>
              <w:jc w:val="center"/>
              <w:rPr>
                <w:spacing w:val="-2"/>
              </w:rPr>
            </w:pPr>
            <w:r>
              <w:rPr>
                <w:spacing w:val="-2"/>
              </w:rPr>
              <w:t>10</w:t>
            </w:r>
          </w:p>
        </w:tc>
        <w:tc>
          <w:tcPr>
            <w:tcW w:w="1728" w:type="dxa"/>
          </w:tcPr>
          <w:p w:rsidR="00AB6CA2" w:rsidRDefault="00AB6CA2" w:rsidP="00AB6CA2">
            <w:pPr>
              <w:adjustRightInd w:val="0"/>
              <w:jc w:val="center"/>
              <w:rPr>
                <w:spacing w:val="-2"/>
              </w:rPr>
            </w:pPr>
            <w:r>
              <w:rPr>
                <w:spacing w:val="-2"/>
              </w:rPr>
              <w:t>45</w:t>
            </w:r>
          </w:p>
        </w:tc>
      </w:tr>
    </w:tbl>
    <w:p w:rsidR="00AB6CA2" w:rsidRPr="00B808F4" w:rsidRDefault="00B808F4" w:rsidP="00B808F4">
      <w:pPr>
        <w:adjustRightInd w:val="0"/>
        <w:ind w:left="540"/>
        <w:rPr>
          <w:spacing w:val="-2"/>
        </w:rPr>
      </w:pPr>
      <w:r>
        <w:rPr>
          <w:spacing w:val="-2"/>
        </w:rPr>
        <w:t>*</w:t>
      </w:r>
      <w:r w:rsidR="00AB6CA2" w:rsidRPr="00B808F4">
        <w:rPr>
          <w:spacing w:val="-2"/>
        </w:rPr>
        <w:t>85/80 indicates one fractured face/two or more fractured faces.</w:t>
      </w:r>
    </w:p>
    <w:p w:rsidR="00AB6CA2" w:rsidRDefault="00AB6CA2" w:rsidP="006F331D"/>
    <w:p w:rsidR="00F504C5" w:rsidRDefault="00F504C5" w:rsidP="006F331D"/>
    <w:p w:rsidR="00C630EE" w:rsidRDefault="00C630EE" w:rsidP="006F331D">
      <w:r>
        <w:t xml:space="preserve">In addition, recommended nominal maximum aggregate size by </w:t>
      </w:r>
      <w:r w:rsidR="00C61475">
        <w:t>application type is shown in Table 3-</w:t>
      </w:r>
      <w:r w:rsidR="004C5C42">
        <w:t>1</w:t>
      </w:r>
      <w:r w:rsidR="00CC4DEE">
        <w:t>0</w:t>
      </w:r>
      <w:r w:rsidR="00C61475">
        <w:t>.  Nominal maximum aggregate size for other types of mix (e.g., gap-graded, open-graded) can be found in NCHRP Report 673 (</w:t>
      </w:r>
      <w:hyperlink r:id="rId55" w:history="1">
        <w:r w:rsidR="00C61475" w:rsidRPr="00B37E5E">
          <w:rPr>
            <w:rStyle w:val="Hyperlink"/>
            <w:rFonts w:cs="Arial"/>
          </w:rPr>
          <w:t>AAT 2011</w:t>
        </w:r>
      </w:hyperlink>
      <w:r w:rsidR="00C61475">
        <w:t>).</w:t>
      </w:r>
    </w:p>
    <w:p w:rsidR="00C61475" w:rsidRDefault="00C61475" w:rsidP="006F331D"/>
    <w:p w:rsidR="00FA1A5E" w:rsidRDefault="00FA1A5E">
      <w:pPr>
        <w:rPr>
          <w:rFonts w:eastAsiaTheme="majorEastAsia" w:cs="Arial"/>
          <w:szCs w:val="22"/>
        </w:rPr>
      </w:pPr>
      <w:r>
        <w:br w:type="page"/>
      </w:r>
    </w:p>
    <w:p w:rsidR="00C61475" w:rsidRDefault="00C61475" w:rsidP="00C61475">
      <w:pPr>
        <w:pStyle w:val="Heading9"/>
      </w:pPr>
      <w:r>
        <w:t>Table 3-</w:t>
      </w:r>
      <w:r w:rsidR="004C5C42">
        <w:t>1</w:t>
      </w:r>
      <w:r w:rsidR="00CC4DEE">
        <w:t>0</w:t>
      </w:r>
      <w:r>
        <w:t>.  Nominal maximum aggregate size by application (</w:t>
      </w:r>
      <w:hyperlink r:id="rId56" w:history="1">
        <w:r w:rsidRPr="00B37E5E">
          <w:rPr>
            <w:rStyle w:val="Hyperlink"/>
            <w:rFonts w:cs="Arial"/>
          </w:rPr>
          <w:t>AAT 2011</w:t>
        </w:r>
      </w:hyperlink>
      <w:r>
        <w:t>).</w:t>
      </w:r>
    </w:p>
    <w:tbl>
      <w:tblPr>
        <w:tblStyle w:val="TableGrid"/>
        <w:tblW w:w="0" w:type="auto"/>
        <w:jc w:val="center"/>
        <w:tblLook w:val="04A0" w:firstRow="1" w:lastRow="0" w:firstColumn="1" w:lastColumn="0" w:noHBand="0" w:noVBand="1"/>
      </w:tblPr>
      <w:tblGrid>
        <w:gridCol w:w="3135"/>
        <w:gridCol w:w="1916"/>
        <w:gridCol w:w="1872"/>
        <w:gridCol w:w="1872"/>
      </w:tblGrid>
      <w:tr w:rsidR="00C61475" w:rsidRPr="00C61475" w:rsidTr="002667B3">
        <w:trPr>
          <w:jc w:val="center"/>
        </w:trPr>
        <w:tc>
          <w:tcPr>
            <w:tcW w:w="3135" w:type="dxa"/>
            <w:vMerge w:val="restart"/>
            <w:tcBorders>
              <w:top w:val="double" w:sz="4" w:space="0" w:color="auto"/>
              <w:left w:val="double" w:sz="4" w:space="0" w:color="auto"/>
            </w:tcBorders>
            <w:vAlign w:val="center"/>
          </w:tcPr>
          <w:p w:rsidR="00C61475" w:rsidRPr="00C61475" w:rsidRDefault="00C61475" w:rsidP="00C61475">
            <w:pPr>
              <w:autoSpaceDE w:val="0"/>
              <w:autoSpaceDN w:val="0"/>
              <w:adjustRightInd w:val="0"/>
              <w:jc w:val="center"/>
              <w:rPr>
                <w:rFonts w:ascii="Times-Bold" w:hAnsi="Times-Bold" w:cs="Times-Bold"/>
                <w:b/>
                <w:bCs/>
                <w:color w:val="231F20"/>
                <w:szCs w:val="24"/>
              </w:rPr>
            </w:pPr>
            <w:r w:rsidRPr="00C61475">
              <w:rPr>
                <w:rFonts w:ascii="Times-Bold" w:hAnsi="Times-Bold" w:cs="Times-Bold"/>
                <w:b/>
                <w:bCs/>
                <w:color w:val="231F20"/>
                <w:szCs w:val="24"/>
              </w:rPr>
              <w:t>Application</w:t>
            </w:r>
          </w:p>
        </w:tc>
        <w:tc>
          <w:tcPr>
            <w:tcW w:w="1916" w:type="dxa"/>
            <w:vMerge w:val="restart"/>
            <w:tcBorders>
              <w:top w:val="double" w:sz="4" w:space="0" w:color="auto"/>
            </w:tcBorders>
            <w:vAlign w:val="center"/>
          </w:tcPr>
          <w:p w:rsidR="00C61475" w:rsidRPr="00C61475" w:rsidRDefault="00C61475" w:rsidP="002667B3">
            <w:pPr>
              <w:autoSpaceDE w:val="0"/>
              <w:autoSpaceDN w:val="0"/>
              <w:adjustRightInd w:val="0"/>
              <w:jc w:val="center"/>
              <w:rPr>
                <w:rFonts w:ascii="Times-Bold" w:hAnsi="Times-Bold" w:cs="Times-Bold"/>
                <w:b/>
                <w:bCs/>
                <w:color w:val="231F20"/>
                <w:szCs w:val="24"/>
              </w:rPr>
            </w:pPr>
            <w:r w:rsidRPr="00C61475">
              <w:rPr>
                <w:rFonts w:ascii="Times-Bold" w:hAnsi="Times-Bold" w:cs="Times-Bold"/>
                <w:b/>
                <w:bCs/>
                <w:color w:val="231F20"/>
                <w:szCs w:val="24"/>
              </w:rPr>
              <w:t>Recommended</w:t>
            </w:r>
            <w:r>
              <w:rPr>
                <w:rFonts w:ascii="Times-Bold" w:hAnsi="Times-Bold" w:cs="Times-Bold"/>
                <w:b/>
                <w:bCs/>
                <w:color w:val="231F20"/>
                <w:szCs w:val="24"/>
              </w:rPr>
              <w:br/>
            </w:r>
            <w:r w:rsidRPr="00C61475">
              <w:rPr>
                <w:rFonts w:ascii="Times-Bold" w:hAnsi="Times-Bold" w:cs="Times-Bold"/>
                <w:b/>
                <w:bCs/>
                <w:color w:val="231F20"/>
                <w:szCs w:val="24"/>
              </w:rPr>
              <w:t>NMAS</w:t>
            </w:r>
          </w:p>
        </w:tc>
        <w:tc>
          <w:tcPr>
            <w:tcW w:w="3744" w:type="dxa"/>
            <w:gridSpan w:val="2"/>
            <w:tcBorders>
              <w:top w:val="double" w:sz="4" w:space="0" w:color="auto"/>
              <w:right w:val="double" w:sz="4" w:space="0" w:color="auto"/>
            </w:tcBorders>
            <w:vAlign w:val="center"/>
          </w:tcPr>
          <w:p w:rsidR="00C61475" w:rsidRPr="00C61475" w:rsidRDefault="00C61475" w:rsidP="00E304D2">
            <w:pPr>
              <w:autoSpaceDE w:val="0"/>
              <w:autoSpaceDN w:val="0"/>
              <w:adjustRightInd w:val="0"/>
              <w:jc w:val="center"/>
              <w:rPr>
                <w:rFonts w:ascii="Times-Bold" w:hAnsi="Times-Bold" w:cs="Times-Bold"/>
                <w:b/>
                <w:bCs/>
                <w:color w:val="231F20"/>
                <w:szCs w:val="24"/>
              </w:rPr>
            </w:pPr>
            <w:r w:rsidRPr="00E304D2">
              <w:rPr>
                <w:rFonts w:ascii="Times-Bold" w:hAnsi="Times-Bold" w:cs="Times-Bold"/>
                <w:b/>
                <w:bCs/>
                <w:color w:val="231F20"/>
                <w:sz w:val="22"/>
                <w:szCs w:val="22"/>
              </w:rPr>
              <w:t>Recommended Lift Thickness</w:t>
            </w:r>
            <w:r w:rsidRPr="00C61475">
              <w:rPr>
                <w:rFonts w:ascii="Times-Bold" w:hAnsi="Times-Bold" w:cs="Times-Bold"/>
                <w:b/>
                <w:bCs/>
                <w:color w:val="231F20"/>
                <w:szCs w:val="24"/>
              </w:rPr>
              <w:t xml:space="preserve">, </w:t>
            </w:r>
            <w:r w:rsidR="00E304D2" w:rsidRPr="00E304D2">
              <w:rPr>
                <w:rFonts w:ascii="Times-Bold" w:hAnsi="Times-Bold" w:cs="Times-Bold"/>
                <w:b/>
                <w:bCs/>
                <w:color w:val="FF0000"/>
                <w:szCs w:val="24"/>
              </w:rPr>
              <w:t>mm</w:t>
            </w:r>
          </w:p>
        </w:tc>
      </w:tr>
      <w:tr w:rsidR="00C61475" w:rsidRPr="00C61475" w:rsidTr="002667B3">
        <w:trPr>
          <w:jc w:val="center"/>
        </w:trPr>
        <w:tc>
          <w:tcPr>
            <w:tcW w:w="3135" w:type="dxa"/>
            <w:vMerge/>
            <w:tcBorders>
              <w:left w:val="double" w:sz="4" w:space="0" w:color="auto"/>
              <w:bottom w:val="double" w:sz="4" w:space="0" w:color="auto"/>
            </w:tcBorders>
            <w:vAlign w:val="center"/>
          </w:tcPr>
          <w:p w:rsidR="00C61475" w:rsidRPr="00C61475" w:rsidRDefault="00C61475" w:rsidP="00C61475">
            <w:pPr>
              <w:autoSpaceDE w:val="0"/>
              <w:autoSpaceDN w:val="0"/>
              <w:adjustRightInd w:val="0"/>
              <w:jc w:val="center"/>
              <w:rPr>
                <w:rFonts w:ascii="Times-Bold" w:hAnsi="Times-Bold" w:cs="Times-Bold"/>
                <w:b/>
                <w:bCs/>
                <w:color w:val="231F20"/>
                <w:szCs w:val="24"/>
              </w:rPr>
            </w:pPr>
          </w:p>
        </w:tc>
        <w:tc>
          <w:tcPr>
            <w:tcW w:w="1916" w:type="dxa"/>
            <w:vMerge/>
            <w:tcBorders>
              <w:bottom w:val="double" w:sz="4" w:space="0" w:color="auto"/>
            </w:tcBorders>
            <w:vAlign w:val="center"/>
          </w:tcPr>
          <w:p w:rsidR="00C61475" w:rsidRPr="00C61475" w:rsidRDefault="00C61475" w:rsidP="00C61475">
            <w:pPr>
              <w:autoSpaceDE w:val="0"/>
              <w:autoSpaceDN w:val="0"/>
              <w:adjustRightInd w:val="0"/>
              <w:jc w:val="center"/>
              <w:rPr>
                <w:rFonts w:ascii="Times-Bold" w:hAnsi="Times-Bold" w:cs="Times-Bold"/>
                <w:b/>
                <w:bCs/>
                <w:color w:val="231F20"/>
                <w:szCs w:val="24"/>
              </w:rPr>
            </w:pPr>
          </w:p>
        </w:tc>
        <w:tc>
          <w:tcPr>
            <w:tcW w:w="1872" w:type="dxa"/>
            <w:tcBorders>
              <w:bottom w:val="double" w:sz="4" w:space="0" w:color="auto"/>
            </w:tcBorders>
            <w:vAlign w:val="center"/>
          </w:tcPr>
          <w:p w:rsidR="00C61475" w:rsidRPr="00C61475" w:rsidRDefault="00C61475" w:rsidP="00C61475">
            <w:pPr>
              <w:autoSpaceDE w:val="0"/>
              <w:autoSpaceDN w:val="0"/>
              <w:adjustRightInd w:val="0"/>
              <w:jc w:val="center"/>
              <w:rPr>
                <w:rFonts w:ascii="Times-Bold" w:hAnsi="Times-Bold" w:cs="Times-Bold"/>
                <w:b/>
                <w:bCs/>
                <w:color w:val="231F20"/>
                <w:szCs w:val="24"/>
              </w:rPr>
            </w:pPr>
            <w:r w:rsidRPr="00C61475">
              <w:rPr>
                <w:rFonts w:ascii="Times-Bold" w:hAnsi="Times-Bold" w:cs="Times-Bold"/>
                <w:b/>
                <w:bCs/>
                <w:color w:val="231F20"/>
                <w:szCs w:val="24"/>
              </w:rPr>
              <w:t>Fine-Graded</w:t>
            </w:r>
            <w:r>
              <w:rPr>
                <w:rFonts w:ascii="Times-Bold" w:hAnsi="Times-Bold" w:cs="Times-Bold"/>
                <w:b/>
                <w:bCs/>
                <w:color w:val="231F20"/>
                <w:szCs w:val="24"/>
              </w:rPr>
              <w:br/>
            </w:r>
            <w:r w:rsidRPr="00C61475">
              <w:rPr>
                <w:rFonts w:ascii="Times-Bold" w:hAnsi="Times-Bold" w:cs="Times-Bold"/>
                <w:b/>
                <w:bCs/>
                <w:color w:val="231F20"/>
                <w:szCs w:val="24"/>
              </w:rPr>
              <w:t>Mixtures</w:t>
            </w:r>
          </w:p>
        </w:tc>
        <w:tc>
          <w:tcPr>
            <w:tcW w:w="1872" w:type="dxa"/>
            <w:tcBorders>
              <w:bottom w:val="double" w:sz="4" w:space="0" w:color="auto"/>
              <w:right w:val="double" w:sz="4" w:space="0" w:color="auto"/>
            </w:tcBorders>
            <w:vAlign w:val="center"/>
          </w:tcPr>
          <w:p w:rsidR="00C61475" w:rsidRPr="00C61475" w:rsidRDefault="00C61475" w:rsidP="00C61475">
            <w:pPr>
              <w:autoSpaceDE w:val="0"/>
              <w:autoSpaceDN w:val="0"/>
              <w:adjustRightInd w:val="0"/>
              <w:jc w:val="center"/>
              <w:rPr>
                <w:rFonts w:ascii="Times-Bold" w:hAnsi="Times-Bold" w:cs="Times-Bold"/>
                <w:b/>
                <w:bCs/>
                <w:color w:val="231F20"/>
                <w:szCs w:val="24"/>
              </w:rPr>
            </w:pPr>
            <w:r w:rsidRPr="00C61475">
              <w:rPr>
                <w:rFonts w:ascii="Times-Bold" w:hAnsi="Times-Bold" w:cs="Times-Bold"/>
                <w:b/>
                <w:bCs/>
                <w:color w:val="231F20"/>
                <w:szCs w:val="24"/>
              </w:rPr>
              <w:t>Coarse-Graded</w:t>
            </w:r>
            <w:r>
              <w:rPr>
                <w:rFonts w:ascii="Times-Bold" w:hAnsi="Times-Bold" w:cs="Times-Bold"/>
                <w:b/>
                <w:bCs/>
                <w:color w:val="231F20"/>
                <w:szCs w:val="24"/>
              </w:rPr>
              <w:br/>
            </w:r>
            <w:r w:rsidRPr="00C61475">
              <w:rPr>
                <w:rFonts w:ascii="Times-Bold" w:hAnsi="Times-Bold" w:cs="Times-Bold"/>
                <w:b/>
                <w:bCs/>
                <w:color w:val="231F20"/>
                <w:szCs w:val="24"/>
              </w:rPr>
              <w:t>Mixtures</w:t>
            </w:r>
          </w:p>
        </w:tc>
      </w:tr>
      <w:tr w:rsidR="00C61475" w:rsidRPr="00C61475" w:rsidTr="002667B3">
        <w:trPr>
          <w:jc w:val="center"/>
        </w:trPr>
        <w:tc>
          <w:tcPr>
            <w:tcW w:w="3135" w:type="dxa"/>
            <w:vMerge w:val="restart"/>
            <w:tcBorders>
              <w:top w:val="double" w:sz="4" w:space="0" w:color="auto"/>
              <w:left w:val="double" w:sz="4" w:space="0" w:color="auto"/>
            </w:tcBorders>
            <w:vAlign w:val="center"/>
          </w:tcPr>
          <w:p w:rsidR="00C61475" w:rsidRPr="00C61475" w:rsidRDefault="00C61475" w:rsidP="00C61475">
            <w:pPr>
              <w:autoSpaceDE w:val="0"/>
              <w:autoSpaceDN w:val="0"/>
              <w:adjustRightInd w:val="0"/>
              <w:rPr>
                <w:rFonts w:ascii="Times-Roman" w:hAnsi="Times-Roman" w:cs="Times-Roman"/>
                <w:color w:val="231F20"/>
                <w:szCs w:val="24"/>
              </w:rPr>
            </w:pPr>
            <w:r w:rsidRPr="00C61475">
              <w:rPr>
                <w:rFonts w:ascii="Times-Roman" w:hAnsi="Times-Roman" w:cs="Times-Roman"/>
                <w:color w:val="231F20"/>
                <w:szCs w:val="24"/>
              </w:rPr>
              <w:t>Leveling course mixtures</w:t>
            </w:r>
          </w:p>
        </w:tc>
        <w:tc>
          <w:tcPr>
            <w:tcW w:w="1916" w:type="dxa"/>
            <w:tcBorders>
              <w:top w:val="double" w:sz="4" w:space="0" w:color="auto"/>
            </w:tcBorders>
            <w:vAlign w:val="center"/>
          </w:tcPr>
          <w:p w:rsidR="00C61475" w:rsidRPr="00C61475" w:rsidRDefault="002667B3" w:rsidP="00C61475">
            <w:pPr>
              <w:autoSpaceDE w:val="0"/>
              <w:autoSpaceDN w:val="0"/>
              <w:adjustRightInd w:val="0"/>
              <w:jc w:val="center"/>
              <w:rPr>
                <w:rFonts w:ascii="Times-Roman" w:hAnsi="Times-Roman" w:cs="Times-Roman"/>
                <w:color w:val="231F20"/>
                <w:szCs w:val="24"/>
              </w:rPr>
            </w:pPr>
            <w:r>
              <w:rPr>
                <w:rFonts w:ascii="Times-Roman" w:hAnsi="Times-Roman" w:cs="Times-Roman"/>
                <w:color w:val="231F20"/>
                <w:szCs w:val="24"/>
              </w:rPr>
              <w:t>No. 4</w:t>
            </w:r>
          </w:p>
        </w:tc>
        <w:tc>
          <w:tcPr>
            <w:tcW w:w="1872" w:type="dxa"/>
            <w:tcBorders>
              <w:top w:val="double" w:sz="4" w:space="0" w:color="auto"/>
            </w:tcBorders>
            <w:vAlign w:val="center"/>
          </w:tcPr>
          <w:p w:rsidR="00C61475" w:rsidRPr="00C61475" w:rsidRDefault="00C61475" w:rsidP="00C61475">
            <w:pPr>
              <w:autoSpaceDE w:val="0"/>
              <w:autoSpaceDN w:val="0"/>
              <w:adjustRightInd w:val="0"/>
              <w:jc w:val="center"/>
              <w:rPr>
                <w:rFonts w:ascii="Times-Roman" w:hAnsi="Times-Roman" w:cs="Times-Roman"/>
                <w:color w:val="231F20"/>
                <w:szCs w:val="24"/>
              </w:rPr>
            </w:pPr>
            <w:r w:rsidRPr="00C61475">
              <w:rPr>
                <w:rFonts w:ascii="Times-Roman" w:hAnsi="Times-Roman" w:cs="Times-Roman"/>
                <w:color w:val="231F20"/>
                <w:szCs w:val="24"/>
              </w:rPr>
              <w:t>15 to 25</w:t>
            </w:r>
          </w:p>
        </w:tc>
        <w:tc>
          <w:tcPr>
            <w:tcW w:w="1872" w:type="dxa"/>
            <w:tcBorders>
              <w:top w:val="double" w:sz="4" w:space="0" w:color="auto"/>
              <w:right w:val="double" w:sz="4" w:space="0" w:color="auto"/>
            </w:tcBorders>
            <w:vAlign w:val="center"/>
          </w:tcPr>
          <w:p w:rsidR="00C61475" w:rsidRPr="00C61475" w:rsidRDefault="00C61475" w:rsidP="00C61475">
            <w:pPr>
              <w:autoSpaceDE w:val="0"/>
              <w:autoSpaceDN w:val="0"/>
              <w:adjustRightInd w:val="0"/>
              <w:jc w:val="center"/>
              <w:rPr>
                <w:rFonts w:ascii="Times-Roman" w:hAnsi="Times-Roman" w:cs="Times-Roman"/>
                <w:color w:val="231F20"/>
                <w:szCs w:val="24"/>
              </w:rPr>
            </w:pPr>
            <w:r w:rsidRPr="00C61475">
              <w:rPr>
                <w:rFonts w:ascii="Times-Roman" w:hAnsi="Times-Roman" w:cs="Times-Roman"/>
                <w:color w:val="231F20"/>
                <w:szCs w:val="24"/>
              </w:rPr>
              <w:t>20 to 25</w:t>
            </w:r>
          </w:p>
        </w:tc>
      </w:tr>
      <w:tr w:rsidR="00C61475" w:rsidRPr="00C61475" w:rsidTr="002667B3">
        <w:trPr>
          <w:jc w:val="center"/>
        </w:trPr>
        <w:tc>
          <w:tcPr>
            <w:tcW w:w="3135" w:type="dxa"/>
            <w:vMerge/>
            <w:tcBorders>
              <w:left w:val="double" w:sz="4" w:space="0" w:color="auto"/>
            </w:tcBorders>
          </w:tcPr>
          <w:p w:rsidR="00C61475" w:rsidRPr="00C61475" w:rsidRDefault="00C61475" w:rsidP="00136622">
            <w:pPr>
              <w:autoSpaceDE w:val="0"/>
              <w:autoSpaceDN w:val="0"/>
              <w:adjustRightInd w:val="0"/>
              <w:rPr>
                <w:rFonts w:ascii="Times-Roman" w:hAnsi="Times-Roman" w:cs="Times-Roman"/>
                <w:color w:val="231F20"/>
                <w:szCs w:val="24"/>
              </w:rPr>
            </w:pPr>
          </w:p>
        </w:tc>
        <w:tc>
          <w:tcPr>
            <w:tcW w:w="1916" w:type="dxa"/>
            <w:vAlign w:val="center"/>
          </w:tcPr>
          <w:p w:rsidR="00C61475" w:rsidRPr="00C61475" w:rsidRDefault="002667B3" w:rsidP="00C61475">
            <w:pPr>
              <w:autoSpaceDE w:val="0"/>
              <w:autoSpaceDN w:val="0"/>
              <w:adjustRightInd w:val="0"/>
              <w:jc w:val="center"/>
              <w:rPr>
                <w:rFonts w:ascii="Times-Roman" w:hAnsi="Times-Roman" w:cs="Times-Roman"/>
                <w:color w:val="231F20"/>
                <w:szCs w:val="24"/>
              </w:rPr>
            </w:pPr>
            <w:r>
              <w:rPr>
                <w:rFonts w:ascii="Times-Roman" w:hAnsi="Times-Roman" w:cs="Times-Roman"/>
                <w:color w:val="231F20"/>
                <w:szCs w:val="24"/>
              </w:rPr>
              <w:t>3/8 in</w:t>
            </w:r>
          </w:p>
        </w:tc>
        <w:tc>
          <w:tcPr>
            <w:tcW w:w="1872" w:type="dxa"/>
            <w:vAlign w:val="center"/>
          </w:tcPr>
          <w:p w:rsidR="00C61475" w:rsidRPr="00C61475" w:rsidRDefault="00C61475" w:rsidP="00C61475">
            <w:pPr>
              <w:autoSpaceDE w:val="0"/>
              <w:autoSpaceDN w:val="0"/>
              <w:adjustRightInd w:val="0"/>
              <w:jc w:val="center"/>
              <w:rPr>
                <w:rFonts w:ascii="Times-Roman" w:hAnsi="Times-Roman" w:cs="Times-Roman"/>
                <w:color w:val="231F20"/>
                <w:szCs w:val="24"/>
              </w:rPr>
            </w:pPr>
            <w:r w:rsidRPr="00C61475">
              <w:rPr>
                <w:rFonts w:ascii="Times-Roman" w:hAnsi="Times-Roman" w:cs="Times-Roman"/>
                <w:color w:val="231F20"/>
                <w:szCs w:val="24"/>
              </w:rPr>
              <w:t>30 to 50</w:t>
            </w:r>
          </w:p>
        </w:tc>
        <w:tc>
          <w:tcPr>
            <w:tcW w:w="1872" w:type="dxa"/>
            <w:tcBorders>
              <w:right w:val="double" w:sz="4" w:space="0" w:color="auto"/>
            </w:tcBorders>
            <w:vAlign w:val="center"/>
          </w:tcPr>
          <w:p w:rsidR="00C61475" w:rsidRPr="00C61475" w:rsidRDefault="00C61475" w:rsidP="00C61475">
            <w:pPr>
              <w:autoSpaceDE w:val="0"/>
              <w:autoSpaceDN w:val="0"/>
              <w:adjustRightInd w:val="0"/>
              <w:jc w:val="center"/>
              <w:rPr>
                <w:rFonts w:ascii="Times-Roman" w:hAnsi="Times-Roman" w:cs="Times-Roman"/>
                <w:color w:val="231F20"/>
                <w:szCs w:val="24"/>
              </w:rPr>
            </w:pPr>
            <w:r w:rsidRPr="00C61475">
              <w:rPr>
                <w:rFonts w:ascii="Times-Roman" w:hAnsi="Times-Roman" w:cs="Times-Roman"/>
                <w:color w:val="231F20"/>
                <w:szCs w:val="24"/>
              </w:rPr>
              <w:t>40 to 50</w:t>
            </w:r>
          </w:p>
        </w:tc>
      </w:tr>
      <w:tr w:rsidR="00C61475" w:rsidRPr="00C61475" w:rsidTr="002667B3">
        <w:trPr>
          <w:jc w:val="center"/>
        </w:trPr>
        <w:tc>
          <w:tcPr>
            <w:tcW w:w="3135" w:type="dxa"/>
            <w:vMerge w:val="restart"/>
            <w:tcBorders>
              <w:left w:val="double" w:sz="4" w:space="0" w:color="auto"/>
            </w:tcBorders>
            <w:vAlign w:val="center"/>
          </w:tcPr>
          <w:p w:rsidR="00C61475" w:rsidRPr="00C61475" w:rsidRDefault="00C61475" w:rsidP="00C61475">
            <w:pPr>
              <w:autoSpaceDE w:val="0"/>
              <w:autoSpaceDN w:val="0"/>
              <w:adjustRightInd w:val="0"/>
              <w:rPr>
                <w:rFonts w:ascii="Times-Roman" w:hAnsi="Times-Roman" w:cs="Times-Roman"/>
                <w:color w:val="231F20"/>
                <w:szCs w:val="24"/>
              </w:rPr>
            </w:pPr>
            <w:r w:rsidRPr="00C61475">
              <w:rPr>
                <w:rFonts w:ascii="Times-Roman" w:hAnsi="Times-Roman" w:cs="Times-Roman"/>
                <w:color w:val="231F20"/>
                <w:szCs w:val="24"/>
              </w:rPr>
              <w:t>Wearing course mixtures</w:t>
            </w:r>
          </w:p>
        </w:tc>
        <w:tc>
          <w:tcPr>
            <w:tcW w:w="1916" w:type="dxa"/>
            <w:vAlign w:val="center"/>
          </w:tcPr>
          <w:p w:rsidR="00C61475" w:rsidRPr="00C61475" w:rsidRDefault="002667B3" w:rsidP="00C61475">
            <w:pPr>
              <w:autoSpaceDE w:val="0"/>
              <w:autoSpaceDN w:val="0"/>
              <w:adjustRightInd w:val="0"/>
              <w:jc w:val="center"/>
              <w:rPr>
                <w:rFonts w:ascii="Times-Roman" w:hAnsi="Times-Roman" w:cs="Times-Roman"/>
                <w:color w:val="231F20"/>
                <w:szCs w:val="24"/>
              </w:rPr>
            </w:pPr>
            <w:r>
              <w:rPr>
                <w:rFonts w:ascii="Times-Roman" w:hAnsi="Times-Roman" w:cs="Times-Roman"/>
                <w:color w:val="231F20"/>
                <w:szCs w:val="24"/>
              </w:rPr>
              <w:t>No.4</w:t>
            </w:r>
          </w:p>
        </w:tc>
        <w:tc>
          <w:tcPr>
            <w:tcW w:w="1872" w:type="dxa"/>
            <w:vAlign w:val="center"/>
          </w:tcPr>
          <w:p w:rsidR="00C61475" w:rsidRPr="00C61475" w:rsidRDefault="00C61475" w:rsidP="00C61475">
            <w:pPr>
              <w:autoSpaceDE w:val="0"/>
              <w:autoSpaceDN w:val="0"/>
              <w:adjustRightInd w:val="0"/>
              <w:jc w:val="center"/>
              <w:rPr>
                <w:rFonts w:ascii="Times-Roman" w:hAnsi="Times-Roman" w:cs="Times-Roman"/>
                <w:color w:val="231F20"/>
                <w:szCs w:val="24"/>
              </w:rPr>
            </w:pPr>
            <w:r w:rsidRPr="00C61475">
              <w:rPr>
                <w:rFonts w:ascii="Times-Roman" w:hAnsi="Times-Roman" w:cs="Times-Roman"/>
                <w:color w:val="231F20"/>
                <w:szCs w:val="24"/>
              </w:rPr>
              <w:t>15 to 25</w:t>
            </w:r>
          </w:p>
        </w:tc>
        <w:tc>
          <w:tcPr>
            <w:tcW w:w="1872" w:type="dxa"/>
            <w:tcBorders>
              <w:right w:val="double" w:sz="4" w:space="0" w:color="auto"/>
            </w:tcBorders>
            <w:vAlign w:val="center"/>
          </w:tcPr>
          <w:p w:rsidR="00C61475" w:rsidRPr="00C61475" w:rsidRDefault="00C61475" w:rsidP="00C61475">
            <w:pPr>
              <w:autoSpaceDE w:val="0"/>
              <w:autoSpaceDN w:val="0"/>
              <w:adjustRightInd w:val="0"/>
              <w:jc w:val="center"/>
              <w:rPr>
                <w:rFonts w:ascii="Times-Roman" w:hAnsi="Times-Roman" w:cs="Times-Roman"/>
                <w:color w:val="231F20"/>
                <w:szCs w:val="24"/>
              </w:rPr>
            </w:pPr>
            <w:r w:rsidRPr="00C61475">
              <w:rPr>
                <w:rFonts w:ascii="Times-Roman" w:hAnsi="Times-Roman" w:cs="Times-Roman"/>
                <w:color w:val="231F20"/>
                <w:szCs w:val="24"/>
              </w:rPr>
              <w:t>20 to 25</w:t>
            </w:r>
          </w:p>
        </w:tc>
      </w:tr>
      <w:tr w:rsidR="00C61475" w:rsidRPr="00C61475" w:rsidTr="002667B3">
        <w:trPr>
          <w:jc w:val="center"/>
        </w:trPr>
        <w:tc>
          <w:tcPr>
            <w:tcW w:w="3135" w:type="dxa"/>
            <w:vMerge/>
            <w:tcBorders>
              <w:left w:val="double" w:sz="4" w:space="0" w:color="auto"/>
            </w:tcBorders>
            <w:vAlign w:val="center"/>
          </w:tcPr>
          <w:p w:rsidR="00C61475" w:rsidRPr="00C61475" w:rsidRDefault="00C61475" w:rsidP="00C61475">
            <w:pPr>
              <w:autoSpaceDE w:val="0"/>
              <w:autoSpaceDN w:val="0"/>
              <w:adjustRightInd w:val="0"/>
              <w:rPr>
                <w:rFonts w:ascii="Times-Roman" w:hAnsi="Times-Roman" w:cs="Times-Roman"/>
                <w:color w:val="231F20"/>
                <w:szCs w:val="24"/>
              </w:rPr>
            </w:pPr>
          </w:p>
        </w:tc>
        <w:tc>
          <w:tcPr>
            <w:tcW w:w="1916" w:type="dxa"/>
            <w:vAlign w:val="center"/>
          </w:tcPr>
          <w:p w:rsidR="00C61475" w:rsidRPr="00C61475" w:rsidRDefault="002667B3" w:rsidP="00C61475">
            <w:pPr>
              <w:autoSpaceDE w:val="0"/>
              <w:autoSpaceDN w:val="0"/>
              <w:adjustRightInd w:val="0"/>
              <w:jc w:val="center"/>
              <w:rPr>
                <w:rFonts w:ascii="Times-Roman" w:hAnsi="Times-Roman" w:cs="Times-Roman"/>
                <w:color w:val="231F20"/>
                <w:szCs w:val="24"/>
              </w:rPr>
            </w:pPr>
            <w:r>
              <w:rPr>
                <w:rFonts w:ascii="Times-Roman" w:hAnsi="Times-Roman" w:cs="Times-Roman"/>
                <w:color w:val="231F20"/>
                <w:szCs w:val="24"/>
              </w:rPr>
              <w:t>3/8 in</w:t>
            </w:r>
          </w:p>
        </w:tc>
        <w:tc>
          <w:tcPr>
            <w:tcW w:w="1872" w:type="dxa"/>
            <w:vAlign w:val="center"/>
          </w:tcPr>
          <w:p w:rsidR="00C61475" w:rsidRPr="00C61475" w:rsidRDefault="00C61475" w:rsidP="00C61475">
            <w:pPr>
              <w:autoSpaceDE w:val="0"/>
              <w:autoSpaceDN w:val="0"/>
              <w:adjustRightInd w:val="0"/>
              <w:jc w:val="center"/>
              <w:rPr>
                <w:rFonts w:ascii="Times-Roman" w:hAnsi="Times-Roman" w:cs="Times-Roman"/>
                <w:color w:val="231F20"/>
                <w:szCs w:val="24"/>
              </w:rPr>
            </w:pPr>
            <w:r w:rsidRPr="00C61475">
              <w:rPr>
                <w:rFonts w:ascii="Times-Roman" w:hAnsi="Times-Roman" w:cs="Times-Roman"/>
                <w:color w:val="231F20"/>
                <w:szCs w:val="24"/>
              </w:rPr>
              <w:t>30 to 50</w:t>
            </w:r>
          </w:p>
        </w:tc>
        <w:tc>
          <w:tcPr>
            <w:tcW w:w="1872" w:type="dxa"/>
            <w:tcBorders>
              <w:right w:val="double" w:sz="4" w:space="0" w:color="auto"/>
            </w:tcBorders>
            <w:vAlign w:val="center"/>
          </w:tcPr>
          <w:p w:rsidR="00C61475" w:rsidRPr="00C61475" w:rsidRDefault="00C61475" w:rsidP="00C61475">
            <w:pPr>
              <w:autoSpaceDE w:val="0"/>
              <w:autoSpaceDN w:val="0"/>
              <w:adjustRightInd w:val="0"/>
              <w:jc w:val="center"/>
              <w:rPr>
                <w:rFonts w:ascii="Times-Roman" w:hAnsi="Times-Roman" w:cs="Times-Roman"/>
                <w:color w:val="231F20"/>
                <w:szCs w:val="24"/>
              </w:rPr>
            </w:pPr>
            <w:r w:rsidRPr="00C61475">
              <w:rPr>
                <w:rFonts w:ascii="Times-Roman" w:hAnsi="Times-Roman" w:cs="Times-Roman"/>
                <w:color w:val="231F20"/>
                <w:szCs w:val="24"/>
              </w:rPr>
              <w:t>40 to 50</w:t>
            </w:r>
          </w:p>
        </w:tc>
      </w:tr>
      <w:tr w:rsidR="00C61475" w:rsidRPr="00C61475" w:rsidTr="002667B3">
        <w:trPr>
          <w:jc w:val="center"/>
        </w:trPr>
        <w:tc>
          <w:tcPr>
            <w:tcW w:w="3135" w:type="dxa"/>
            <w:vMerge/>
            <w:tcBorders>
              <w:left w:val="double" w:sz="4" w:space="0" w:color="auto"/>
            </w:tcBorders>
            <w:vAlign w:val="center"/>
          </w:tcPr>
          <w:p w:rsidR="00C61475" w:rsidRPr="00C61475" w:rsidRDefault="00C61475" w:rsidP="00C61475">
            <w:pPr>
              <w:autoSpaceDE w:val="0"/>
              <w:autoSpaceDN w:val="0"/>
              <w:adjustRightInd w:val="0"/>
              <w:rPr>
                <w:rFonts w:ascii="Times-Roman" w:hAnsi="Times-Roman" w:cs="Times-Roman"/>
                <w:color w:val="231F20"/>
                <w:szCs w:val="24"/>
              </w:rPr>
            </w:pPr>
          </w:p>
        </w:tc>
        <w:tc>
          <w:tcPr>
            <w:tcW w:w="1916" w:type="dxa"/>
            <w:vAlign w:val="center"/>
          </w:tcPr>
          <w:p w:rsidR="00C61475" w:rsidRPr="00C61475" w:rsidRDefault="002667B3" w:rsidP="00C61475">
            <w:pPr>
              <w:autoSpaceDE w:val="0"/>
              <w:autoSpaceDN w:val="0"/>
              <w:adjustRightInd w:val="0"/>
              <w:jc w:val="center"/>
              <w:rPr>
                <w:rFonts w:ascii="Times-Roman" w:hAnsi="Times-Roman" w:cs="Times-Roman"/>
                <w:color w:val="231F20"/>
                <w:szCs w:val="24"/>
              </w:rPr>
            </w:pPr>
            <w:r>
              <w:rPr>
                <w:rFonts w:ascii="Times-Roman" w:hAnsi="Times-Roman" w:cs="Times-Roman"/>
                <w:color w:val="231F20"/>
                <w:szCs w:val="24"/>
              </w:rPr>
              <w:t>1/2 in</w:t>
            </w:r>
          </w:p>
        </w:tc>
        <w:tc>
          <w:tcPr>
            <w:tcW w:w="1872" w:type="dxa"/>
            <w:vAlign w:val="center"/>
          </w:tcPr>
          <w:p w:rsidR="00C61475" w:rsidRPr="00C61475" w:rsidRDefault="00C61475" w:rsidP="00136622">
            <w:pPr>
              <w:autoSpaceDE w:val="0"/>
              <w:autoSpaceDN w:val="0"/>
              <w:adjustRightInd w:val="0"/>
              <w:jc w:val="center"/>
              <w:rPr>
                <w:rFonts w:ascii="Times-Roman" w:hAnsi="Times-Roman" w:cs="Times-Roman"/>
                <w:color w:val="231F20"/>
                <w:szCs w:val="24"/>
              </w:rPr>
            </w:pPr>
            <w:r w:rsidRPr="00C61475">
              <w:rPr>
                <w:rFonts w:ascii="Times-Roman" w:hAnsi="Times-Roman" w:cs="Times-Roman"/>
                <w:color w:val="231F20"/>
                <w:szCs w:val="24"/>
              </w:rPr>
              <w:t>40 to 65</w:t>
            </w:r>
          </w:p>
        </w:tc>
        <w:tc>
          <w:tcPr>
            <w:tcW w:w="1872" w:type="dxa"/>
            <w:tcBorders>
              <w:right w:val="double" w:sz="4" w:space="0" w:color="auto"/>
            </w:tcBorders>
            <w:vAlign w:val="center"/>
          </w:tcPr>
          <w:p w:rsidR="00C61475" w:rsidRPr="00C61475" w:rsidRDefault="00C61475" w:rsidP="00136622">
            <w:pPr>
              <w:autoSpaceDE w:val="0"/>
              <w:autoSpaceDN w:val="0"/>
              <w:adjustRightInd w:val="0"/>
              <w:jc w:val="center"/>
              <w:rPr>
                <w:rFonts w:ascii="Times-Roman" w:hAnsi="Times-Roman" w:cs="Times-Roman"/>
                <w:color w:val="231F20"/>
                <w:szCs w:val="24"/>
              </w:rPr>
            </w:pPr>
            <w:r w:rsidRPr="00C61475">
              <w:rPr>
                <w:rFonts w:ascii="Times-Roman" w:hAnsi="Times-Roman" w:cs="Times-Roman"/>
                <w:color w:val="231F20"/>
                <w:szCs w:val="24"/>
              </w:rPr>
              <w:t>50 to 65</w:t>
            </w:r>
          </w:p>
        </w:tc>
      </w:tr>
      <w:tr w:rsidR="00C61475" w:rsidRPr="00C61475" w:rsidTr="002667B3">
        <w:trPr>
          <w:jc w:val="center"/>
        </w:trPr>
        <w:tc>
          <w:tcPr>
            <w:tcW w:w="3135" w:type="dxa"/>
            <w:vMerge w:val="restart"/>
            <w:tcBorders>
              <w:left w:val="double" w:sz="4" w:space="0" w:color="auto"/>
            </w:tcBorders>
            <w:vAlign w:val="center"/>
          </w:tcPr>
          <w:p w:rsidR="00C61475" w:rsidRPr="00C61475" w:rsidRDefault="00C61475" w:rsidP="00C61475">
            <w:pPr>
              <w:autoSpaceDE w:val="0"/>
              <w:autoSpaceDN w:val="0"/>
              <w:adjustRightInd w:val="0"/>
              <w:rPr>
                <w:rFonts w:ascii="Times-Roman" w:hAnsi="Times-Roman" w:cs="Times-Roman"/>
                <w:color w:val="231F20"/>
                <w:szCs w:val="24"/>
              </w:rPr>
            </w:pPr>
            <w:r w:rsidRPr="00C61475">
              <w:rPr>
                <w:rFonts w:ascii="Times-Roman" w:hAnsi="Times-Roman" w:cs="Times-Roman"/>
                <w:color w:val="231F20"/>
                <w:szCs w:val="24"/>
              </w:rPr>
              <w:t>Intermediate course mixtures</w:t>
            </w:r>
          </w:p>
        </w:tc>
        <w:tc>
          <w:tcPr>
            <w:tcW w:w="1916" w:type="dxa"/>
            <w:vAlign w:val="center"/>
          </w:tcPr>
          <w:p w:rsidR="00C61475" w:rsidRPr="00C61475" w:rsidRDefault="002667B3" w:rsidP="00C61475">
            <w:pPr>
              <w:autoSpaceDE w:val="0"/>
              <w:autoSpaceDN w:val="0"/>
              <w:adjustRightInd w:val="0"/>
              <w:jc w:val="center"/>
              <w:rPr>
                <w:rFonts w:ascii="Times-Roman" w:hAnsi="Times-Roman" w:cs="Times-Roman"/>
                <w:color w:val="231F20"/>
                <w:szCs w:val="24"/>
              </w:rPr>
            </w:pPr>
            <w:r>
              <w:rPr>
                <w:rFonts w:ascii="Times-Roman" w:hAnsi="Times-Roman" w:cs="Times-Roman"/>
                <w:color w:val="231F20"/>
                <w:szCs w:val="24"/>
              </w:rPr>
              <w:t>3/4 in</w:t>
            </w:r>
          </w:p>
        </w:tc>
        <w:tc>
          <w:tcPr>
            <w:tcW w:w="1872" w:type="dxa"/>
            <w:vAlign w:val="center"/>
          </w:tcPr>
          <w:p w:rsidR="00C61475" w:rsidRPr="00C61475" w:rsidRDefault="00C61475" w:rsidP="00136622">
            <w:pPr>
              <w:autoSpaceDE w:val="0"/>
              <w:autoSpaceDN w:val="0"/>
              <w:adjustRightInd w:val="0"/>
              <w:jc w:val="center"/>
              <w:rPr>
                <w:rFonts w:ascii="Times-Roman" w:hAnsi="Times-Roman" w:cs="Times-Roman"/>
                <w:color w:val="231F20"/>
                <w:szCs w:val="24"/>
              </w:rPr>
            </w:pPr>
            <w:r w:rsidRPr="00C61475">
              <w:rPr>
                <w:rFonts w:ascii="Times-Roman" w:hAnsi="Times-Roman" w:cs="Times-Roman"/>
                <w:color w:val="231F20"/>
                <w:szCs w:val="24"/>
              </w:rPr>
              <w:t>60 to 100</w:t>
            </w:r>
          </w:p>
        </w:tc>
        <w:tc>
          <w:tcPr>
            <w:tcW w:w="1872" w:type="dxa"/>
            <w:tcBorders>
              <w:right w:val="double" w:sz="4" w:space="0" w:color="auto"/>
            </w:tcBorders>
            <w:vAlign w:val="center"/>
          </w:tcPr>
          <w:p w:rsidR="00C61475" w:rsidRPr="00C61475" w:rsidRDefault="00C61475" w:rsidP="00136622">
            <w:pPr>
              <w:autoSpaceDE w:val="0"/>
              <w:autoSpaceDN w:val="0"/>
              <w:adjustRightInd w:val="0"/>
              <w:jc w:val="center"/>
              <w:rPr>
                <w:rFonts w:ascii="Times-Roman" w:hAnsi="Times-Roman" w:cs="Times-Roman"/>
                <w:color w:val="231F20"/>
                <w:szCs w:val="24"/>
              </w:rPr>
            </w:pPr>
            <w:r w:rsidRPr="00C61475">
              <w:rPr>
                <w:rFonts w:ascii="Times-Roman" w:hAnsi="Times-Roman" w:cs="Times-Roman"/>
                <w:color w:val="231F20"/>
                <w:szCs w:val="24"/>
              </w:rPr>
              <w:t>75 to 100</w:t>
            </w:r>
          </w:p>
        </w:tc>
      </w:tr>
      <w:tr w:rsidR="00C61475" w:rsidRPr="00C61475" w:rsidTr="002667B3">
        <w:trPr>
          <w:jc w:val="center"/>
        </w:trPr>
        <w:tc>
          <w:tcPr>
            <w:tcW w:w="3135" w:type="dxa"/>
            <w:vMerge/>
            <w:tcBorders>
              <w:left w:val="double" w:sz="4" w:space="0" w:color="auto"/>
            </w:tcBorders>
            <w:vAlign w:val="center"/>
          </w:tcPr>
          <w:p w:rsidR="00C61475" w:rsidRPr="00C61475" w:rsidRDefault="00C61475" w:rsidP="00C61475">
            <w:pPr>
              <w:autoSpaceDE w:val="0"/>
              <w:autoSpaceDN w:val="0"/>
              <w:adjustRightInd w:val="0"/>
              <w:rPr>
                <w:rFonts w:ascii="Times-Roman" w:hAnsi="Times-Roman" w:cs="Times-Roman"/>
                <w:color w:val="231F20"/>
                <w:szCs w:val="24"/>
              </w:rPr>
            </w:pPr>
          </w:p>
        </w:tc>
        <w:tc>
          <w:tcPr>
            <w:tcW w:w="1916" w:type="dxa"/>
            <w:vAlign w:val="center"/>
          </w:tcPr>
          <w:p w:rsidR="00C61475" w:rsidRPr="00C61475" w:rsidRDefault="002667B3" w:rsidP="00C61475">
            <w:pPr>
              <w:autoSpaceDE w:val="0"/>
              <w:autoSpaceDN w:val="0"/>
              <w:adjustRightInd w:val="0"/>
              <w:jc w:val="center"/>
              <w:rPr>
                <w:rFonts w:ascii="Times-Roman" w:hAnsi="Times-Roman" w:cs="Times-Roman"/>
                <w:color w:val="231F20"/>
                <w:szCs w:val="24"/>
              </w:rPr>
            </w:pPr>
            <w:r>
              <w:rPr>
                <w:rFonts w:ascii="Times-Roman" w:hAnsi="Times-Roman" w:cs="Times-Roman"/>
                <w:color w:val="231F20"/>
                <w:szCs w:val="24"/>
              </w:rPr>
              <w:t>1 in</w:t>
            </w:r>
          </w:p>
        </w:tc>
        <w:tc>
          <w:tcPr>
            <w:tcW w:w="1872" w:type="dxa"/>
            <w:vAlign w:val="center"/>
          </w:tcPr>
          <w:p w:rsidR="00C61475" w:rsidRPr="00C61475" w:rsidRDefault="00C61475" w:rsidP="00136622">
            <w:pPr>
              <w:autoSpaceDE w:val="0"/>
              <w:autoSpaceDN w:val="0"/>
              <w:adjustRightInd w:val="0"/>
              <w:jc w:val="center"/>
              <w:rPr>
                <w:rFonts w:ascii="Times-Roman" w:hAnsi="Times-Roman" w:cs="Times-Roman"/>
                <w:color w:val="231F20"/>
                <w:szCs w:val="24"/>
              </w:rPr>
            </w:pPr>
            <w:r w:rsidRPr="00C61475">
              <w:rPr>
                <w:rFonts w:ascii="Times-Roman" w:hAnsi="Times-Roman" w:cs="Times-Roman"/>
                <w:color w:val="231F20"/>
                <w:szCs w:val="24"/>
              </w:rPr>
              <w:t>75 to 125</w:t>
            </w:r>
          </w:p>
        </w:tc>
        <w:tc>
          <w:tcPr>
            <w:tcW w:w="1872" w:type="dxa"/>
            <w:tcBorders>
              <w:right w:val="double" w:sz="4" w:space="0" w:color="auto"/>
            </w:tcBorders>
            <w:vAlign w:val="center"/>
          </w:tcPr>
          <w:p w:rsidR="00C61475" w:rsidRPr="00C61475" w:rsidRDefault="00C61475" w:rsidP="00136622">
            <w:pPr>
              <w:autoSpaceDE w:val="0"/>
              <w:autoSpaceDN w:val="0"/>
              <w:adjustRightInd w:val="0"/>
              <w:jc w:val="center"/>
              <w:rPr>
                <w:rFonts w:ascii="Times-Roman" w:hAnsi="Times-Roman" w:cs="Times-Roman"/>
                <w:color w:val="231F20"/>
                <w:szCs w:val="24"/>
              </w:rPr>
            </w:pPr>
            <w:r w:rsidRPr="00C61475">
              <w:rPr>
                <w:rFonts w:ascii="Times-Roman" w:hAnsi="Times-Roman" w:cs="Times-Roman"/>
                <w:color w:val="231F20"/>
                <w:szCs w:val="24"/>
              </w:rPr>
              <w:t>100 to 125</w:t>
            </w:r>
          </w:p>
        </w:tc>
      </w:tr>
      <w:tr w:rsidR="002667B3" w:rsidRPr="00C61475" w:rsidTr="002667B3">
        <w:trPr>
          <w:jc w:val="center"/>
        </w:trPr>
        <w:tc>
          <w:tcPr>
            <w:tcW w:w="3135" w:type="dxa"/>
            <w:vMerge w:val="restart"/>
            <w:tcBorders>
              <w:left w:val="double" w:sz="4" w:space="0" w:color="auto"/>
            </w:tcBorders>
            <w:vAlign w:val="center"/>
          </w:tcPr>
          <w:p w:rsidR="002667B3" w:rsidRPr="00C61475" w:rsidRDefault="002667B3" w:rsidP="00C61475">
            <w:pPr>
              <w:autoSpaceDE w:val="0"/>
              <w:autoSpaceDN w:val="0"/>
              <w:adjustRightInd w:val="0"/>
              <w:rPr>
                <w:rFonts w:ascii="Times-Roman" w:hAnsi="Times-Roman" w:cs="Times-Roman"/>
                <w:color w:val="231F20"/>
                <w:szCs w:val="24"/>
              </w:rPr>
            </w:pPr>
            <w:r w:rsidRPr="00C61475">
              <w:rPr>
                <w:rFonts w:ascii="Times-Roman" w:hAnsi="Times-Roman" w:cs="Times-Roman"/>
                <w:color w:val="231F20"/>
                <w:szCs w:val="24"/>
              </w:rPr>
              <w:t>Base course mixtures</w:t>
            </w:r>
          </w:p>
        </w:tc>
        <w:tc>
          <w:tcPr>
            <w:tcW w:w="1916" w:type="dxa"/>
            <w:vAlign w:val="center"/>
          </w:tcPr>
          <w:p w:rsidR="002667B3" w:rsidRPr="00C61475" w:rsidRDefault="002667B3" w:rsidP="00136622">
            <w:pPr>
              <w:autoSpaceDE w:val="0"/>
              <w:autoSpaceDN w:val="0"/>
              <w:adjustRightInd w:val="0"/>
              <w:jc w:val="center"/>
              <w:rPr>
                <w:rFonts w:ascii="Times-Roman" w:hAnsi="Times-Roman" w:cs="Times-Roman"/>
                <w:color w:val="231F20"/>
                <w:szCs w:val="24"/>
              </w:rPr>
            </w:pPr>
            <w:r>
              <w:rPr>
                <w:rFonts w:ascii="Times-Roman" w:hAnsi="Times-Roman" w:cs="Times-Roman"/>
                <w:color w:val="231F20"/>
                <w:szCs w:val="24"/>
              </w:rPr>
              <w:t>3/4 in</w:t>
            </w:r>
          </w:p>
        </w:tc>
        <w:tc>
          <w:tcPr>
            <w:tcW w:w="1872" w:type="dxa"/>
            <w:vAlign w:val="center"/>
          </w:tcPr>
          <w:p w:rsidR="002667B3" w:rsidRPr="00C61475" w:rsidRDefault="002667B3" w:rsidP="00136622">
            <w:pPr>
              <w:autoSpaceDE w:val="0"/>
              <w:autoSpaceDN w:val="0"/>
              <w:adjustRightInd w:val="0"/>
              <w:jc w:val="center"/>
              <w:rPr>
                <w:rFonts w:ascii="Times-Roman" w:hAnsi="Times-Roman" w:cs="Times-Roman"/>
                <w:color w:val="231F20"/>
                <w:szCs w:val="24"/>
              </w:rPr>
            </w:pPr>
            <w:r w:rsidRPr="00C61475">
              <w:rPr>
                <w:rFonts w:ascii="Times-Roman" w:hAnsi="Times-Roman" w:cs="Times-Roman"/>
                <w:color w:val="231F20"/>
                <w:szCs w:val="24"/>
              </w:rPr>
              <w:t>60 to 100</w:t>
            </w:r>
          </w:p>
        </w:tc>
        <w:tc>
          <w:tcPr>
            <w:tcW w:w="1872" w:type="dxa"/>
            <w:tcBorders>
              <w:right w:val="double" w:sz="4" w:space="0" w:color="auto"/>
            </w:tcBorders>
            <w:vAlign w:val="center"/>
          </w:tcPr>
          <w:p w:rsidR="002667B3" w:rsidRPr="00C61475" w:rsidRDefault="002667B3" w:rsidP="00136622">
            <w:pPr>
              <w:autoSpaceDE w:val="0"/>
              <w:autoSpaceDN w:val="0"/>
              <w:adjustRightInd w:val="0"/>
              <w:jc w:val="center"/>
              <w:rPr>
                <w:rFonts w:ascii="Times-Roman" w:hAnsi="Times-Roman" w:cs="Times-Roman"/>
                <w:color w:val="231F20"/>
                <w:szCs w:val="24"/>
              </w:rPr>
            </w:pPr>
            <w:r w:rsidRPr="00C61475">
              <w:rPr>
                <w:rFonts w:ascii="Times-Roman" w:hAnsi="Times-Roman" w:cs="Times-Roman"/>
                <w:color w:val="231F20"/>
                <w:szCs w:val="24"/>
              </w:rPr>
              <w:t>75 to 100</w:t>
            </w:r>
          </w:p>
        </w:tc>
      </w:tr>
      <w:tr w:rsidR="002667B3" w:rsidRPr="00C61475" w:rsidTr="002667B3">
        <w:trPr>
          <w:jc w:val="center"/>
        </w:trPr>
        <w:tc>
          <w:tcPr>
            <w:tcW w:w="3135" w:type="dxa"/>
            <w:vMerge/>
            <w:tcBorders>
              <w:left w:val="double" w:sz="4" w:space="0" w:color="auto"/>
            </w:tcBorders>
            <w:vAlign w:val="center"/>
          </w:tcPr>
          <w:p w:rsidR="002667B3" w:rsidRPr="00C61475" w:rsidRDefault="002667B3" w:rsidP="00C61475">
            <w:pPr>
              <w:autoSpaceDE w:val="0"/>
              <w:autoSpaceDN w:val="0"/>
              <w:adjustRightInd w:val="0"/>
              <w:rPr>
                <w:rFonts w:ascii="Times-Roman" w:hAnsi="Times-Roman" w:cs="Times-Roman"/>
                <w:color w:val="231F20"/>
                <w:szCs w:val="24"/>
              </w:rPr>
            </w:pPr>
          </w:p>
        </w:tc>
        <w:tc>
          <w:tcPr>
            <w:tcW w:w="1916" w:type="dxa"/>
            <w:vAlign w:val="center"/>
          </w:tcPr>
          <w:p w:rsidR="002667B3" w:rsidRPr="00C61475" w:rsidRDefault="002667B3" w:rsidP="00C61475">
            <w:pPr>
              <w:autoSpaceDE w:val="0"/>
              <w:autoSpaceDN w:val="0"/>
              <w:adjustRightInd w:val="0"/>
              <w:jc w:val="center"/>
              <w:rPr>
                <w:rFonts w:ascii="Times-Roman" w:hAnsi="Times-Roman" w:cs="Times-Roman"/>
                <w:color w:val="231F20"/>
                <w:szCs w:val="24"/>
              </w:rPr>
            </w:pPr>
            <w:r>
              <w:rPr>
                <w:rFonts w:ascii="Times-Roman" w:hAnsi="Times-Roman" w:cs="Times-Roman"/>
                <w:color w:val="231F20"/>
                <w:szCs w:val="24"/>
              </w:rPr>
              <w:t>1 in</w:t>
            </w:r>
          </w:p>
        </w:tc>
        <w:tc>
          <w:tcPr>
            <w:tcW w:w="1872" w:type="dxa"/>
            <w:vAlign w:val="center"/>
          </w:tcPr>
          <w:p w:rsidR="002667B3" w:rsidRPr="00C61475" w:rsidRDefault="002667B3" w:rsidP="00C61475">
            <w:pPr>
              <w:autoSpaceDE w:val="0"/>
              <w:autoSpaceDN w:val="0"/>
              <w:adjustRightInd w:val="0"/>
              <w:jc w:val="center"/>
              <w:rPr>
                <w:rFonts w:ascii="Times-Roman" w:hAnsi="Times-Roman" w:cs="Times-Roman"/>
                <w:color w:val="231F20"/>
                <w:szCs w:val="24"/>
              </w:rPr>
            </w:pPr>
            <w:r w:rsidRPr="00C61475">
              <w:rPr>
                <w:rFonts w:ascii="Times-Roman" w:hAnsi="Times-Roman" w:cs="Times-Roman"/>
                <w:color w:val="231F20"/>
                <w:szCs w:val="24"/>
              </w:rPr>
              <w:t>75 to 125</w:t>
            </w:r>
          </w:p>
        </w:tc>
        <w:tc>
          <w:tcPr>
            <w:tcW w:w="1872" w:type="dxa"/>
            <w:tcBorders>
              <w:right w:val="double" w:sz="4" w:space="0" w:color="auto"/>
            </w:tcBorders>
            <w:vAlign w:val="center"/>
          </w:tcPr>
          <w:p w:rsidR="002667B3" w:rsidRPr="00C61475" w:rsidRDefault="002667B3" w:rsidP="00C61475">
            <w:pPr>
              <w:autoSpaceDE w:val="0"/>
              <w:autoSpaceDN w:val="0"/>
              <w:adjustRightInd w:val="0"/>
              <w:jc w:val="center"/>
              <w:rPr>
                <w:rFonts w:ascii="Times-Roman" w:hAnsi="Times-Roman" w:cs="Times-Roman"/>
                <w:color w:val="231F20"/>
                <w:szCs w:val="24"/>
              </w:rPr>
            </w:pPr>
            <w:r w:rsidRPr="00C61475">
              <w:rPr>
                <w:rFonts w:ascii="Times-Roman" w:hAnsi="Times-Roman" w:cs="Times-Roman"/>
                <w:color w:val="231F20"/>
                <w:szCs w:val="24"/>
              </w:rPr>
              <w:t>100 to 125</w:t>
            </w:r>
          </w:p>
        </w:tc>
      </w:tr>
      <w:tr w:rsidR="002667B3" w:rsidRPr="00C61475" w:rsidTr="002667B3">
        <w:trPr>
          <w:jc w:val="center"/>
        </w:trPr>
        <w:tc>
          <w:tcPr>
            <w:tcW w:w="3135" w:type="dxa"/>
            <w:vMerge/>
            <w:tcBorders>
              <w:left w:val="double" w:sz="4" w:space="0" w:color="auto"/>
            </w:tcBorders>
            <w:vAlign w:val="center"/>
          </w:tcPr>
          <w:p w:rsidR="002667B3" w:rsidRPr="00C61475" w:rsidRDefault="002667B3" w:rsidP="00C61475">
            <w:pPr>
              <w:autoSpaceDE w:val="0"/>
              <w:autoSpaceDN w:val="0"/>
              <w:adjustRightInd w:val="0"/>
              <w:rPr>
                <w:rFonts w:ascii="Times-Roman" w:hAnsi="Times-Roman" w:cs="Times-Roman"/>
                <w:color w:val="231F20"/>
                <w:szCs w:val="24"/>
              </w:rPr>
            </w:pPr>
          </w:p>
        </w:tc>
        <w:tc>
          <w:tcPr>
            <w:tcW w:w="1916" w:type="dxa"/>
            <w:vAlign w:val="center"/>
          </w:tcPr>
          <w:p w:rsidR="002667B3" w:rsidRPr="00C61475" w:rsidRDefault="002667B3" w:rsidP="002667B3">
            <w:pPr>
              <w:autoSpaceDE w:val="0"/>
              <w:autoSpaceDN w:val="0"/>
              <w:adjustRightInd w:val="0"/>
              <w:jc w:val="center"/>
              <w:rPr>
                <w:rFonts w:ascii="Times-Roman" w:hAnsi="Times-Roman" w:cs="Times-Roman"/>
                <w:color w:val="231F20"/>
                <w:szCs w:val="24"/>
              </w:rPr>
            </w:pPr>
            <w:r>
              <w:rPr>
                <w:rFonts w:ascii="Times-Roman" w:hAnsi="Times-Roman" w:cs="Times-Roman"/>
                <w:color w:val="231F20"/>
                <w:szCs w:val="24"/>
              </w:rPr>
              <w:t>1-1/2 in</w:t>
            </w:r>
          </w:p>
        </w:tc>
        <w:tc>
          <w:tcPr>
            <w:tcW w:w="1872" w:type="dxa"/>
            <w:vAlign w:val="center"/>
          </w:tcPr>
          <w:p w:rsidR="002667B3" w:rsidRPr="00C61475" w:rsidRDefault="002667B3" w:rsidP="00136622">
            <w:pPr>
              <w:autoSpaceDE w:val="0"/>
              <w:autoSpaceDN w:val="0"/>
              <w:adjustRightInd w:val="0"/>
              <w:jc w:val="center"/>
              <w:rPr>
                <w:rFonts w:ascii="Times-Roman" w:hAnsi="Times-Roman" w:cs="Times-Roman"/>
                <w:color w:val="231F20"/>
                <w:szCs w:val="24"/>
              </w:rPr>
            </w:pPr>
            <w:r w:rsidRPr="00C61475">
              <w:rPr>
                <w:rFonts w:ascii="Times-Roman" w:hAnsi="Times-Roman" w:cs="Times-Roman"/>
                <w:color w:val="231F20"/>
                <w:szCs w:val="24"/>
              </w:rPr>
              <w:t>115 to 150</w:t>
            </w:r>
          </w:p>
        </w:tc>
        <w:tc>
          <w:tcPr>
            <w:tcW w:w="1872" w:type="dxa"/>
            <w:tcBorders>
              <w:right w:val="double" w:sz="4" w:space="0" w:color="auto"/>
            </w:tcBorders>
            <w:vAlign w:val="center"/>
          </w:tcPr>
          <w:p w:rsidR="002667B3" w:rsidRPr="00C61475" w:rsidRDefault="002667B3" w:rsidP="00136622">
            <w:pPr>
              <w:autoSpaceDE w:val="0"/>
              <w:autoSpaceDN w:val="0"/>
              <w:adjustRightInd w:val="0"/>
              <w:jc w:val="center"/>
              <w:rPr>
                <w:rFonts w:ascii="Times-Roman" w:hAnsi="Times-Roman" w:cs="Times-Roman"/>
                <w:color w:val="231F20"/>
                <w:szCs w:val="24"/>
              </w:rPr>
            </w:pPr>
            <w:r w:rsidRPr="00C61475">
              <w:rPr>
                <w:rFonts w:ascii="Times-Roman" w:hAnsi="Times-Roman" w:cs="Times-Roman"/>
                <w:color w:val="231F20"/>
                <w:szCs w:val="24"/>
              </w:rPr>
              <w:t>150</w:t>
            </w:r>
          </w:p>
        </w:tc>
      </w:tr>
      <w:tr w:rsidR="002667B3" w:rsidRPr="00C61475" w:rsidTr="002667B3">
        <w:trPr>
          <w:jc w:val="center"/>
        </w:trPr>
        <w:tc>
          <w:tcPr>
            <w:tcW w:w="3135" w:type="dxa"/>
            <w:vMerge w:val="restart"/>
            <w:tcBorders>
              <w:left w:val="double" w:sz="4" w:space="0" w:color="auto"/>
            </w:tcBorders>
            <w:vAlign w:val="center"/>
          </w:tcPr>
          <w:p w:rsidR="002667B3" w:rsidRPr="00C61475" w:rsidRDefault="002667B3" w:rsidP="00C61475">
            <w:pPr>
              <w:autoSpaceDE w:val="0"/>
              <w:autoSpaceDN w:val="0"/>
              <w:adjustRightInd w:val="0"/>
              <w:rPr>
                <w:rFonts w:ascii="Times-Roman" w:hAnsi="Times-Roman" w:cs="Times-Roman"/>
                <w:color w:val="231F20"/>
                <w:szCs w:val="24"/>
              </w:rPr>
            </w:pPr>
            <w:r w:rsidRPr="00C61475">
              <w:rPr>
                <w:rFonts w:ascii="Times-Roman" w:hAnsi="Times-Roman" w:cs="Times-Roman"/>
                <w:color w:val="231F20"/>
                <w:szCs w:val="24"/>
              </w:rPr>
              <w:t>Rich base course mixtures</w:t>
            </w:r>
          </w:p>
        </w:tc>
        <w:tc>
          <w:tcPr>
            <w:tcW w:w="1916" w:type="dxa"/>
            <w:vAlign w:val="center"/>
          </w:tcPr>
          <w:p w:rsidR="002667B3" w:rsidRPr="00C61475" w:rsidRDefault="002667B3" w:rsidP="002667B3">
            <w:pPr>
              <w:autoSpaceDE w:val="0"/>
              <w:autoSpaceDN w:val="0"/>
              <w:adjustRightInd w:val="0"/>
              <w:jc w:val="center"/>
              <w:rPr>
                <w:rFonts w:ascii="Times-Roman" w:hAnsi="Times-Roman" w:cs="Times-Roman"/>
                <w:color w:val="231F20"/>
                <w:szCs w:val="24"/>
              </w:rPr>
            </w:pPr>
            <w:r>
              <w:rPr>
                <w:rFonts w:ascii="Times-Roman" w:hAnsi="Times-Roman" w:cs="Times-Roman"/>
                <w:color w:val="231F20"/>
                <w:szCs w:val="24"/>
              </w:rPr>
              <w:t>3/8 in</w:t>
            </w:r>
          </w:p>
        </w:tc>
        <w:tc>
          <w:tcPr>
            <w:tcW w:w="1872" w:type="dxa"/>
            <w:vAlign w:val="center"/>
          </w:tcPr>
          <w:p w:rsidR="002667B3" w:rsidRPr="00C61475" w:rsidRDefault="002667B3" w:rsidP="00136622">
            <w:pPr>
              <w:autoSpaceDE w:val="0"/>
              <w:autoSpaceDN w:val="0"/>
              <w:adjustRightInd w:val="0"/>
              <w:jc w:val="center"/>
              <w:rPr>
                <w:rFonts w:ascii="Times-Roman" w:hAnsi="Times-Roman" w:cs="Times-Roman"/>
                <w:color w:val="231F20"/>
                <w:szCs w:val="24"/>
              </w:rPr>
            </w:pPr>
            <w:r w:rsidRPr="00C61475">
              <w:rPr>
                <w:rFonts w:ascii="Times-Roman" w:hAnsi="Times-Roman" w:cs="Times-Roman"/>
                <w:color w:val="231F20"/>
                <w:szCs w:val="24"/>
              </w:rPr>
              <w:t>30 to 50</w:t>
            </w:r>
          </w:p>
        </w:tc>
        <w:tc>
          <w:tcPr>
            <w:tcW w:w="1872" w:type="dxa"/>
            <w:tcBorders>
              <w:right w:val="double" w:sz="4" w:space="0" w:color="auto"/>
            </w:tcBorders>
            <w:vAlign w:val="center"/>
          </w:tcPr>
          <w:p w:rsidR="002667B3" w:rsidRPr="00C61475" w:rsidRDefault="002667B3" w:rsidP="00136622">
            <w:pPr>
              <w:autoSpaceDE w:val="0"/>
              <w:autoSpaceDN w:val="0"/>
              <w:adjustRightInd w:val="0"/>
              <w:jc w:val="center"/>
              <w:rPr>
                <w:rFonts w:ascii="Times-Roman" w:hAnsi="Times-Roman" w:cs="Times-Roman"/>
                <w:color w:val="231F20"/>
                <w:szCs w:val="24"/>
              </w:rPr>
            </w:pPr>
            <w:r w:rsidRPr="00C61475">
              <w:rPr>
                <w:rFonts w:ascii="Times-Roman" w:hAnsi="Times-Roman" w:cs="Times-Roman"/>
                <w:color w:val="231F20"/>
                <w:szCs w:val="24"/>
              </w:rPr>
              <w:t>40 to 50</w:t>
            </w:r>
          </w:p>
        </w:tc>
      </w:tr>
      <w:tr w:rsidR="002667B3" w:rsidRPr="00C61475" w:rsidTr="002667B3">
        <w:trPr>
          <w:jc w:val="center"/>
        </w:trPr>
        <w:tc>
          <w:tcPr>
            <w:tcW w:w="3135" w:type="dxa"/>
            <w:vMerge/>
            <w:tcBorders>
              <w:left w:val="double" w:sz="4" w:space="0" w:color="auto"/>
              <w:bottom w:val="double" w:sz="4" w:space="0" w:color="auto"/>
            </w:tcBorders>
            <w:vAlign w:val="center"/>
          </w:tcPr>
          <w:p w:rsidR="002667B3" w:rsidRPr="00C61475" w:rsidRDefault="002667B3" w:rsidP="00C61475">
            <w:pPr>
              <w:autoSpaceDE w:val="0"/>
              <w:autoSpaceDN w:val="0"/>
              <w:adjustRightInd w:val="0"/>
              <w:rPr>
                <w:rFonts w:ascii="Times-Roman" w:hAnsi="Times-Roman" w:cs="Times-Roman"/>
                <w:color w:val="231F20"/>
                <w:szCs w:val="24"/>
              </w:rPr>
            </w:pPr>
          </w:p>
        </w:tc>
        <w:tc>
          <w:tcPr>
            <w:tcW w:w="1916" w:type="dxa"/>
            <w:tcBorders>
              <w:bottom w:val="double" w:sz="4" w:space="0" w:color="auto"/>
            </w:tcBorders>
            <w:vAlign w:val="center"/>
          </w:tcPr>
          <w:p w:rsidR="002667B3" w:rsidRPr="00C61475" w:rsidRDefault="002667B3" w:rsidP="00C61475">
            <w:pPr>
              <w:autoSpaceDE w:val="0"/>
              <w:autoSpaceDN w:val="0"/>
              <w:adjustRightInd w:val="0"/>
              <w:jc w:val="center"/>
              <w:rPr>
                <w:rFonts w:ascii="Times-Roman" w:hAnsi="Times-Roman" w:cs="Times-Roman"/>
                <w:color w:val="231F20"/>
                <w:szCs w:val="24"/>
              </w:rPr>
            </w:pPr>
            <w:r>
              <w:rPr>
                <w:rFonts w:ascii="Times-Roman" w:hAnsi="Times-Roman" w:cs="Times-Roman"/>
                <w:color w:val="231F20"/>
                <w:szCs w:val="24"/>
              </w:rPr>
              <w:t>1/2 in</w:t>
            </w:r>
          </w:p>
        </w:tc>
        <w:tc>
          <w:tcPr>
            <w:tcW w:w="1872" w:type="dxa"/>
            <w:tcBorders>
              <w:bottom w:val="double" w:sz="4" w:space="0" w:color="auto"/>
            </w:tcBorders>
            <w:vAlign w:val="center"/>
          </w:tcPr>
          <w:p w:rsidR="002667B3" w:rsidRPr="00C61475" w:rsidRDefault="002667B3" w:rsidP="00C61475">
            <w:pPr>
              <w:autoSpaceDE w:val="0"/>
              <w:autoSpaceDN w:val="0"/>
              <w:adjustRightInd w:val="0"/>
              <w:jc w:val="center"/>
              <w:rPr>
                <w:rFonts w:ascii="Times-Roman" w:hAnsi="Times-Roman" w:cs="Times-Roman"/>
                <w:color w:val="231F20"/>
                <w:szCs w:val="24"/>
              </w:rPr>
            </w:pPr>
            <w:r w:rsidRPr="00C61475">
              <w:rPr>
                <w:rFonts w:ascii="Times-Roman" w:hAnsi="Times-Roman" w:cs="Times-Roman"/>
                <w:color w:val="231F20"/>
                <w:szCs w:val="24"/>
              </w:rPr>
              <w:t>40 to 65</w:t>
            </w:r>
          </w:p>
        </w:tc>
        <w:tc>
          <w:tcPr>
            <w:tcW w:w="1872" w:type="dxa"/>
            <w:tcBorders>
              <w:bottom w:val="double" w:sz="4" w:space="0" w:color="auto"/>
              <w:right w:val="double" w:sz="4" w:space="0" w:color="auto"/>
            </w:tcBorders>
            <w:vAlign w:val="center"/>
          </w:tcPr>
          <w:p w:rsidR="002667B3" w:rsidRPr="00C61475" w:rsidRDefault="002667B3" w:rsidP="00C61475">
            <w:pPr>
              <w:autoSpaceDE w:val="0"/>
              <w:autoSpaceDN w:val="0"/>
              <w:adjustRightInd w:val="0"/>
              <w:jc w:val="center"/>
              <w:rPr>
                <w:szCs w:val="24"/>
              </w:rPr>
            </w:pPr>
            <w:r w:rsidRPr="00C61475">
              <w:rPr>
                <w:rFonts w:ascii="Times-Roman" w:hAnsi="Times-Roman" w:cs="Times-Roman"/>
                <w:color w:val="231F20"/>
                <w:szCs w:val="24"/>
              </w:rPr>
              <w:t>50 to 65</w:t>
            </w:r>
          </w:p>
        </w:tc>
      </w:tr>
    </w:tbl>
    <w:p w:rsidR="00C61475" w:rsidRDefault="00C61475" w:rsidP="006F331D"/>
    <w:p w:rsidR="00AB6CA2" w:rsidRDefault="00AB6CA2" w:rsidP="006F331D">
      <w:pPr>
        <w:pStyle w:val="Heading5"/>
      </w:pPr>
      <w:r>
        <w:t xml:space="preserve">Binder </w:t>
      </w:r>
      <w:r w:rsidR="00B808F4">
        <w:t>S</w:t>
      </w:r>
      <w:r>
        <w:t>election</w:t>
      </w:r>
    </w:p>
    <w:p w:rsidR="00AB6CA2" w:rsidRDefault="00AB6CA2" w:rsidP="0031494D">
      <w:r>
        <w:t xml:space="preserve">As previously discussed, the binder grade is selected based on the 7-day maximum pavement temperature and the minimum low temperature.  The high temperature grade can also be increased </w:t>
      </w:r>
      <w:r w:rsidR="00B808F4">
        <w:t>depending on speed of traffic</w:t>
      </w:r>
      <w:r w:rsidR="00367032">
        <w:t xml:space="preserve"> (see Table </w:t>
      </w:r>
      <w:r w:rsidR="002667B3">
        <w:t>3</w:t>
      </w:r>
      <w:r w:rsidR="00367032" w:rsidRPr="00B37E5E">
        <w:t>-</w:t>
      </w:r>
      <w:r w:rsidR="004C5C42">
        <w:t>1</w:t>
      </w:r>
      <w:r w:rsidR="00CC4DEE">
        <w:t>1</w:t>
      </w:r>
      <w:r w:rsidR="00367032">
        <w:t>)</w:t>
      </w:r>
      <w:r w:rsidR="00B808F4">
        <w:t>.</w:t>
      </w:r>
    </w:p>
    <w:p w:rsidR="00AB6CA2" w:rsidRDefault="00AB6CA2" w:rsidP="0031494D"/>
    <w:p w:rsidR="00367032" w:rsidRDefault="00367032" w:rsidP="00367032">
      <w:pPr>
        <w:pStyle w:val="Heading9"/>
      </w:pPr>
      <w:r>
        <w:t xml:space="preserve">Table </w:t>
      </w:r>
      <w:r w:rsidR="002667B3">
        <w:t>3</w:t>
      </w:r>
      <w:r>
        <w:t>-</w:t>
      </w:r>
      <w:r w:rsidR="00CC4DEE">
        <w:t>11</w:t>
      </w:r>
      <w:r>
        <w:t xml:space="preserve">.  High temperature grade adjustments </w:t>
      </w:r>
      <w:r w:rsidR="00EB1579">
        <w:t>by</w:t>
      </w:r>
      <w:r>
        <w:t xml:space="preserve"> traffic level and speed (</w:t>
      </w:r>
      <w:hyperlink r:id="rId57" w:history="1">
        <w:r w:rsidRPr="00B37E5E">
          <w:rPr>
            <w:rStyle w:val="Hyperlink"/>
            <w:rFonts w:cs="Arial"/>
          </w:rPr>
          <w:t>AAT 2011</w:t>
        </w:r>
      </w:hyperlink>
      <w:r>
        <w:t>).</w:t>
      </w:r>
    </w:p>
    <w:tbl>
      <w:tblPr>
        <w:tblStyle w:val="TableGrid"/>
        <w:tblW w:w="0" w:type="auto"/>
        <w:jc w:val="center"/>
        <w:tblInd w:w="-119"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788"/>
        <w:gridCol w:w="2304"/>
        <w:gridCol w:w="2304"/>
        <w:gridCol w:w="2304"/>
      </w:tblGrid>
      <w:tr w:rsidR="00EB1579" w:rsidRPr="00B37E5E" w:rsidTr="005E40AE">
        <w:trPr>
          <w:trHeight w:val="259"/>
          <w:jc w:val="center"/>
        </w:trPr>
        <w:tc>
          <w:tcPr>
            <w:tcW w:w="1788" w:type="dxa"/>
            <w:vMerge w:val="restart"/>
            <w:tcBorders>
              <w:top w:val="double" w:sz="4" w:space="0" w:color="auto"/>
            </w:tcBorders>
            <w:vAlign w:val="center"/>
          </w:tcPr>
          <w:p w:rsidR="00EB1579" w:rsidRPr="00B37E5E" w:rsidRDefault="005E40AE" w:rsidP="005E40AE">
            <w:pPr>
              <w:jc w:val="center"/>
              <w:rPr>
                <w:b/>
              </w:rPr>
            </w:pPr>
            <w:r>
              <w:rPr>
                <w:b/>
                <w:color w:val="7030A0"/>
              </w:rPr>
              <w:t xml:space="preserve">Design </w:t>
            </w:r>
            <w:r w:rsidR="00EB1579" w:rsidRPr="00B37E5E">
              <w:rPr>
                <w:b/>
              </w:rPr>
              <w:t>Traffic</w:t>
            </w:r>
            <w:r w:rsidR="00EB1579" w:rsidRPr="00B37E5E">
              <w:rPr>
                <w:b/>
              </w:rPr>
              <w:br/>
              <w:t>(MESALs)</w:t>
            </w:r>
          </w:p>
        </w:tc>
        <w:tc>
          <w:tcPr>
            <w:tcW w:w="6912" w:type="dxa"/>
            <w:gridSpan w:val="3"/>
            <w:tcBorders>
              <w:top w:val="double" w:sz="4" w:space="0" w:color="auto"/>
              <w:bottom w:val="nil"/>
            </w:tcBorders>
            <w:vAlign w:val="center"/>
          </w:tcPr>
          <w:p w:rsidR="00EB1579" w:rsidRPr="00B37E5E" w:rsidRDefault="00EB1579" w:rsidP="00B37E5E">
            <w:pPr>
              <w:jc w:val="center"/>
              <w:rPr>
                <w:b/>
              </w:rPr>
            </w:pPr>
            <w:r w:rsidRPr="00B37E5E">
              <w:rPr>
                <w:b/>
              </w:rPr>
              <w:t>High Temperature Grade Adjustment for Vehicle Speed (mph)</w:t>
            </w:r>
          </w:p>
        </w:tc>
      </w:tr>
      <w:tr w:rsidR="00EB1579" w:rsidRPr="00B37E5E" w:rsidTr="005E40AE">
        <w:trPr>
          <w:trHeight w:val="259"/>
          <w:jc w:val="center"/>
        </w:trPr>
        <w:tc>
          <w:tcPr>
            <w:tcW w:w="1788" w:type="dxa"/>
            <w:vMerge/>
            <w:tcBorders>
              <w:bottom w:val="double" w:sz="4" w:space="0" w:color="auto"/>
            </w:tcBorders>
            <w:vAlign w:val="center"/>
          </w:tcPr>
          <w:p w:rsidR="00EB1579" w:rsidRPr="00B37E5E" w:rsidRDefault="00EB1579" w:rsidP="00B37E5E">
            <w:pPr>
              <w:jc w:val="center"/>
              <w:rPr>
                <w:b/>
              </w:rPr>
            </w:pPr>
          </w:p>
        </w:tc>
        <w:tc>
          <w:tcPr>
            <w:tcW w:w="2304" w:type="dxa"/>
            <w:tcBorders>
              <w:top w:val="nil"/>
              <w:bottom w:val="double" w:sz="4" w:space="0" w:color="auto"/>
            </w:tcBorders>
            <w:vAlign w:val="center"/>
          </w:tcPr>
          <w:p w:rsidR="00EB1579" w:rsidRPr="00B37E5E" w:rsidRDefault="00EB1579" w:rsidP="00B37E5E">
            <w:pPr>
              <w:jc w:val="center"/>
              <w:rPr>
                <w:b/>
              </w:rPr>
            </w:pPr>
            <w:r>
              <w:rPr>
                <w:b/>
              </w:rPr>
              <w:t>&lt; 25</w:t>
            </w:r>
          </w:p>
        </w:tc>
        <w:tc>
          <w:tcPr>
            <w:tcW w:w="2304" w:type="dxa"/>
            <w:tcBorders>
              <w:top w:val="nil"/>
              <w:bottom w:val="double" w:sz="4" w:space="0" w:color="auto"/>
            </w:tcBorders>
            <w:vAlign w:val="center"/>
          </w:tcPr>
          <w:p w:rsidR="00EB1579" w:rsidRPr="00B37E5E" w:rsidRDefault="00EB1579" w:rsidP="00B37E5E">
            <w:pPr>
              <w:jc w:val="center"/>
              <w:rPr>
                <w:b/>
              </w:rPr>
            </w:pPr>
            <w:r>
              <w:rPr>
                <w:b/>
              </w:rPr>
              <w:t>25 to &lt; 70</w:t>
            </w:r>
          </w:p>
        </w:tc>
        <w:tc>
          <w:tcPr>
            <w:tcW w:w="2304" w:type="dxa"/>
            <w:tcBorders>
              <w:top w:val="nil"/>
              <w:bottom w:val="double" w:sz="4" w:space="0" w:color="auto"/>
            </w:tcBorders>
            <w:vAlign w:val="center"/>
          </w:tcPr>
          <w:p w:rsidR="00EB1579" w:rsidRPr="00B37E5E" w:rsidRDefault="00EB1579" w:rsidP="00B37E5E">
            <w:pPr>
              <w:jc w:val="center"/>
              <w:rPr>
                <w:b/>
              </w:rPr>
            </w:pPr>
            <w:r>
              <w:rPr>
                <w:b/>
              </w:rPr>
              <w:sym w:font="Symbol" w:char="F0B3"/>
            </w:r>
            <w:r>
              <w:rPr>
                <w:b/>
              </w:rPr>
              <w:t xml:space="preserve"> 70</w:t>
            </w:r>
          </w:p>
        </w:tc>
      </w:tr>
      <w:tr w:rsidR="00367032" w:rsidTr="005E40AE">
        <w:trPr>
          <w:trHeight w:val="259"/>
          <w:jc w:val="center"/>
        </w:trPr>
        <w:tc>
          <w:tcPr>
            <w:tcW w:w="1788" w:type="dxa"/>
            <w:tcBorders>
              <w:top w:val="double" w:sz="4" w:space="0" w:color="auto"/>
            </w:tcBorders>
          </w:tcPr>
          <w:p w:rsidR="00367032" w:rsidRDefault="00367032" w:rsidP="00EB1579">
            <w:pPr>
              <w:jc w:val="center"/>
            </w:pPr>
            <w:r>
              <w:t>&lt; 0.3</w:t>
            </w:r>
          </w:p>
        </w:tc>
        <w:tc>
          <w:tcPr>
            <w:tcW w:w="2304" w:type="dxa"/>
            <w:tcBorders>
              <w:top w:val="double" w:sz="4" w:space="0" w:color="auto"/>
            </w:tcBorders>
          </w:tcPr>
          <w:p w:rsidR="00367032" w:rsidRPr="00EB1579" w:rsidRDefault="005E40AE" w:rsidP="00EB1579">
            <w:pPr>
              <w:jc w:val="center"/>
              <w:rPr>
                <w:vertAlign w:val="superscript"/>
              </w:rPr>
            </w:pPr>
            <w:r>
              <w:rPr>
                <w:vertAlign w:val="superscript"/>
              </w:rPr>
              <w:t>a</w:t>
            </w:r>
          </w:p>
        </w:tc>
        <w:tc>
          <w:tcPr>
            <w:tcW w:w="2304" w:type="dxa"/>
            <w:tcBorders>
              <w:top w:val="double" w:sz="4" w:space="0" w:color="auto"/>
            </w:tcBorders>
          </w:tcPr>
          <w:p w:rsidR="00367032" w:rsidRDefault="005E40AE" w:rsidP="00EB1579">
            <w:pPr>
              <w:jc w:val="center"/>
            </w:pPr>
            <w:r>
              <w:rPr>
                <w:vertAlign w:val="superscript"/>
              </w:rPr>
              <w:t>a</w:t>
            </w:r>
          </w:p>
        </w:tc>
        <w:tc>
          <w:tcPr>
            <w:tcW w:w="2304" w:type="dxa"/>
            <w:tcBorders>
              <w:top w:val="double" w:sz="4" w:space="0" w:color="auto"/>
            </w:tcBorders>
          </w:tcPr>
          <w:p w:rsidR="00367032" w:rsidRDefault="005E40AE" w:rsidP="00EB1579">
            <w:pPr>
              <w:jc w:val="center"/>
            </w:pPr>
            <w:r>
              <w:rPr>
                <w:vertAlign w:val="superscript"/>
              </w:rPr>
              <w:t>a</w:t>
            </w:r>
          </w:p>
        </w:tc>
      </w:tr>
      <w:tr w:rsidR="00367032" w:rsidTr="005E40AE">
        <w:trPr>
          <w:trHeight w:val="259"/>
          <w:jc w:val="center"/>
        </w:trPr>
        <w:tc>
          <w:tcPr>
            <w:tcW w:w="1788" w:type="dxa"/>
          </w:tcPr>
          <w:p w:rsidR="00367032" w:rsidRDefault="00367032" w:rsidP="00EB1579">
            <w:pPr>
              <w:jc w:val="center"/>
            </w:pPr>
            <w:r>
              <w:t>0.3 to &lt; 3</w:t>
            </w:r>
          </w:p>
        </w:tc>
        <w:tc>
          <w:tcPr>
            <w:tcW w:w="2304" w:type="dxa"/>
          </w:tcPr>
          <w:p w:rsidR="00367032" w:rsidRDefault="00367032" w:rsidP="00EB1579">
            <w:pPr>
              <w:jc w:val="center"/>
            </w:pPr>
            <w:r>
              <w:t>12</w:t>
            </w:r>
          </w:p>
        </w:tc>
        <w:tc>
          <w:tcPr>
            <w:tcW w:w="2304" w:type="dxa"/>
          </w:tcPr>
          <w:p w:rsidR="00367032" w:rsidRDefault="00367032" w:rsidP="00EB1579">
            <w:pPr>
              <w:jc w:val="center"/>
            </w:pPr>
            <w:r>
              <w:t>6</w:t>
            </w:r>
          </w:p>
        </w:tc>
        <w:tc>
          <w:tcPr>
            <w:tcW w:w="2304" w:type="dxa"/>
          </w:tcPr>
          <w:p w:rsidR="00367032" w:rsidRDefault="005E40AE" w:rsidP="00EB1579">
            <w:pPr>
              <w:jc w:val="center"/>
            </w:pPr>
            <w:r>
              <w:rPr>
                <w:vertAlign w:val="superscript"/>
              </w:rPr>
              <w:t>a</w:t>
            </w:r>
          </w:p>
        </w:tc>
      </w:tr>
      <w:tr w:rsidR="00367032" w:rsidTr="005E40AE">
        <w:trPr>
          <w:trHeight w:val="259"/>
          <w:jc w:val="center"/>
        </w:trPr>
        <w:tc>
          <w:tcPr>
            <w:tcW w:w="1788" w:type="dxa"/>
          </w:tcPr>
          <w:p w:rsidR="00367032" w:rsidRDefault="00367032" w:rsidP="00EB1579">
            <w:pPr>
              <w:jc w:val="center"/>
            </w:pPr>
            <w:r>
              <w:t>3 to &lt; 10</w:t>
            </w:r>
          </w:p>
        </w:tc>
        <w:tc>
          <w:tcPr>
            <w:tcW w:w="2304" w:type="dxa"/>
          </w:tcPr>
          <w:p w:rsidR="00367032" w:rsidRDefault="00367032" w:rsidP="007D3590">
            <w:pPr>
              <w:jc w:val="center"/>
            </w:pPr>
            <w:r>
              <w:t>18</w:t>
            </w:r>
          </w:p>
        </w:tc>
        <w:tc>
          <w:tcPr>
            <w:tcW w:w="2304" w:type="dxa"/>
          </w:tcPr>
          <w:p w:rsidR="00367032" w:rsidRDefault="00367032" w:rsidP="00EB1579">
            <w:pPr>
              <w:jc w:val="center"/>
            </w:pPr>
            <w:r>
              <w:t>13</w:t>
            </w:r>
          </w:p>
        </w:tc>
        <w:tc>
          <w:tcPr>
            <w:tcW w:w="2304" w:type="dxa"/>
          </w:tcPr>
          <w:p w:rsidR="00367032" w:rsidRDefault="00367032" w:rsidP="00EB1579">
            <w:pPr>
              <w:jc w:val="center"/>
            </w:pPr>
            <w:r>
              <w:t>6</w:t>
            </w:r>
          </w:p>
        </w:tc>
      </w:tr>
      <w:tr w:rsidR="00367032" w:rsidTr="005E40AE">
        <w:trPr>
          <w:trHeight w:val="259"/>
          <w:jc w:val="center"/>
        </w:trPr>
        <w:tc>
          <w:tcPr>
            <w:tcW w:w="1788" w:type="dxa"/>
          </w:tcPr>
          <w:p w:rsidR="00367032" w:rsidRDefault="00367032" w:rsidP="00EB1579">
            <w:pPr>
              <w:jc w:val="center"/>
            </w:pPr>
            <w:r>
              <w:t>10 to &lt; 30</w:t>
            </w:r>
          </w:p>
        </w:tc>
        <w:tc>
          <w:tcPr>
            <w:tcW w:w="2304" w:type="dxa"/>
          </w:tcPr>
          <w:p w:rsidR="00367032" w:rsidRDefault="00367032" w:rsidP="007D3590">
            <w:pPr>
              <w:jc w:val="center"/>
            </w:pPr>
            <w:r>
              <w:t>22</w:t>
            </w:r>
            <w:r w:rsidR="005E40AE" w:rsidRPr="005E40AE">
              <w:rPr>
                <w:vertAlign w:val="superscript"/>
              </w:rPr>
              <w:t>b</w:t>
            </w:r>
          </w:p>
        </w:tc>
        <w:tc>
          <w:tcPr>
            <w:tcW w:w="2304" w:type="dxa"/>
          </w:tcPr>
          <w:p w:rsidR="00367032" w:rsidRDefault="00367032" w:rsidP="007D3590">
            <w:pPr>
              <w:jc w:val="center"/>
            </w:pPr>
            <w:r>
              <w:t>16</w:t>
            </w:r>
            <w:r w:rsidR="005E40AE" w:rsidRPr="005E40AE">
              <w:rPr>
                <w:vertAlign w:val="superscript"/>
              </w:rPr>
              <w:t>b</w:t>
            </w:r>
          </w:p>
        </w:tc>
        <w:tc>
          <w:tcPr>
            <w:tcW w:w="2304" w:type="dxa"/>
          </w:tcPr>
          <w:p w:rsidR="00367032" w:rsidRDefault="00367032" w:rsidP="00EB1579">
            <w:pPr>
              <w:jc w:val="center"/>
            </w:pPr>
            <w:r>
              <w:t>10</w:t>
            </w:r>
          </w:p>
        </w:tc>
      </w:tr>
      <w:tr w:rsidR="00367032" w:rsidTr="005E40AE">
        <w:trPr>
          <w:trHeight w:val="259"/>
          <w:jc w:val="center"/>
        </w:trPr>
        <w:tc>
          <w:tcPr>
            <w:tcW w:w="1788" w:type="dxa"/>
          </w:tcPr>
          <w:p w:rsidR="00367032" w:rsidRDefault="00367032" w:rsidP="00EB1579">
            <w:pPr>
              <w:jc w:val="center"/>
            </w:pPr>
            <w:r>
              <w:sym w:font="Symbol" w:char="F0B3"/>
            </w:r>
            <w:r>
              <w:t xml:space="preserve"> 30</w:t>
            </w:r>
          </w:p>
        </w:tc>
        <w:tc>
          <w:tcPr>
            <w:tcW w:w="2304" w:type="dxa"/>
          </w:tcPr>
          <w:p w:rsidR="00367032" w:rsidRDefault="005E40AE" w:rsidP="00EB1579">
            <w:pPr>
              <w:jc w:val="center"/>
            </w:pPr>
            <w:r>
              <w:t>---</w:t>
            </w:r>
          </w:p>
        </w:tc>
        <w:tc>
          <w:tcPr>
            <w:tcW w:w="2304" w:type="dxa"/>
          </w:tcPr>
          <w:p w:rsidR="00367032" w:rsidRDefault="00367032" w:rsidP="005E40AE">
            <w:pPr>
              <w:jc w:val="center"/>
            </w:pPr>
            <w:r>
              <w:t>21</w:t>
            </w:r>
            <w:r w:rsidR="005E40AE">
              <w:rPr>
                <w:vertAlign w:val="superscript"/>
              </w:rPr>
              <w:t>b</w:t>
            </w:r>
          </w:p>
        </w:tc>
        <w:tc>
          <w:tcPr>
            <w:tcW w:w="2304" w:type="dxa"/>
          </w:tcPr>
          <w:p w:rsidR="00367032" w:rsidRDefault="00367032" w:rsidP="005E40AE">
            <w:pPr>
              <w:jc w:val="center"/>
            </w:pPr>
            <w:r>
              <w:t>15</w:t>
            </w:r>
            <w:r w:rsidR="005E40AE">
              <w:rPr>
                <w:vertAlign w:val="superscript"/>
              </w:rPr>
              <w:t>b</w:t>
            </w:r>
          </w:p>
        </w:tc>
      </w:tr>
    </w:tbl>
    <w:p w:rsidR="00B37E5E" w:rsidRPr="00B37E5E" w:rsidRDefault="005E40AE" w:rsidP="00EB1579">
      <w:pPr>
        <w:ind w:left="540"/>
        <w:rPr>
          <w:szCs w:val="24"/>
        </w:rPr>
      </w:pPr>
      <w:r>
        <w:rPr>
          <w:szCs w:val="24"/>
          <w:vertAlign w:val="superscript"/>
        </w:rPr>
        <w:t>a</w:t>
      </w:r>
      <w:r w:rsidR="00B37E5E" w:rsidRPr="00B37E5E">
        <w:rPr>
          <w:szCs w:val="24"/>
        </w:rPr>
        <w:t xml:space="preserve"> No adjustment.</w:t>
      </w:r>
    </w:p>
    <w:p w:rsidR="00367032" w:rsidRPr="00B37E5E" w:rsidRDefault="005E40AE" w:rsidP="00EB1579">
      <w:pPr>
        <w:ind w:left="540"/>
        <w:rPr>
          <w:szCs w:val="24"/>
        </w:rPr>
      </w:pPr>
      <w:r>
        <w:rPr>
          <w:szCs w:val="24"/>
          <w:vertAlign w:val="superscript"/>
        </w:rPr>
        <w:t>b</w:t>
      </w:r>
      <w:r w:rsidR="00367032" w:rsidRPr="00B37E5E">
        <w:rPr>
          <w:szCs w:val="24"/>
        </w:rPr>
        <w:t xml:space="preserve"> Consider using polymer-modified binder.</w:t>
      </w:r>
    </w:p>
    <w:p w:rsidR="00367032" w:rsidRPr="00367032" w:rsidRDefault="00367032" w:rsidP="00367032"/>
    <w:p w:rsidR="00AB6CA2" w:rsidRDefault="00AB6CA2" w:rsidP="0031494D">
      <w:pPr>
        <w:pStyle w:val="Heading5"/>
      </w:pPr>
      <w:r>
        <w:t xml:space="preserve">Determine </w:t>
      </w:r>
      <w:r w:rsidR="00B808F4">
        <w:t>D</w:t>
      </w:r>
      <w:r>
        <w:t xml:space="preserve">esign </w:t>
      </w:r>
      <w:r w:rsidR="00B808F4">
        <w:t>A</w:t>
      </w:r>
      <w:r>
        <w:t xml:space="preserve">ggregate </w:t>
      </w:r>
      <w:r w:rsidR="00B808F4">
        <w:t>S</w:t>
      </w:r>
      <w:r>
        <w:t>tructure</w:t>
      </w:r>
    </w:p>
    <w:p w:rsidR="00AB6CA2" w:rsidRPr="006E006F" w:rsidRDefault="00AB6CA2" w:rsidP="0031494D">
      <w:pPr>
        <w:rPr>
          <w:color w:val="8064A2" w:themeColor="accent4"/>
        </w:rPr>
      </w:pPr>
      <w:r>
        <w:t>Three different aggregate structures are selected, each tested with three different binder contents.  Mixtures are made a</w:t>
      </w:r>
      <w:r w:rsidR="002667B3">
        <w:t>nd compacted using the</w:t>
      </w:r>
      <w:r>
        <w:t xml:space="preserve"> gyratory compactor (see</w:t>
      </w:r>
      <w:r w:rsidR="00AA7638">
        <w:t xml:space="preserve"> Figure 3-15</w:t>
      </w:r>
      <w:r>
        <w:t xml:space="preserve">), with the number of gyrations selected based on the </w:t>
      </w:r>
      <w:r w:rsidR="00C630EE">
        <w:t xml:space="preserve">design </w:t>
      </w:r>
      <w:r>
        <w:t xml:space="preserve">traffic levels as specified in </w:t>
      </w:r>
      <w:r w:rsidR="00F3038B">
        <w:rPr>
          <w:color w:val="000000" w:themeColor="text1"/>
        </w:rPr>
        <w:t xml:space="preserve">Table </w:t>
      </w:r>
      <w:r w:rsidR="00A806A8">
        <w:rPr>
          <w:color w:val="000000" w:themeColor="text1"/>
        </w:rPr>
        <w:t>3-12</w:t>
      </w:r>
      <w:r w:rsidR="006E006F">
        <w:rPr>
          <w:color w:val="000000" w:themeColor="text1"/>
        </w:rPr>
        <w:t>.</w:t>
      </w:r>
    </w:p>
    <w:p w:rsidR="00E0076F" w:rsidRDefault="00E0076F" w:rsidP="0031494D">
      <w:pPr>
        <w:rPr>
          <w:color w:val="000000" w:themeColor="text1"/>
        </w:rPr>
      </w:pPr>
    </w:p>
    <w:p w:rsidR="00FA1A5E" w:rsidRDefault="00FA1A5E">
      <w:pPr>
        <w:rPr>
          <w:rFonts w:eastAsiaTheme="majorEastAsia" w:cs="Arial"/>
          <w:szCs w:val="22"/>
        </w:rPr>
      </w:pPr>
      <w:bookmarkStart w:id="92" w:name="_Toc295918118"/>
      <w:r>
        <w:br w:type="page"/>
      </w:r>
    </w:p>
    <w:p w:rsidR="002D59F3" w:rsidRDefault="002D59F3" w:rsidP="002D59F3">
      <w:pPr>
        <w:pStyle w:val="Heading9"/>
      </w:pPr>
      <w:r>
        <w:t xml:space="preserve">Table </w:t>
      </w:r>
      <w:bookmarkStart w:id="93" w:name="t11"/>
      <w:r>
        <w:t>3-1</w:t>
      </w:r>
      <w:bookmarkEnd w:id="93"/>
      <w:r w:rsidR="00CC4DEE">
        <w:t>2</w:t>
      </w:r>
      <w:r>
        <w:t>.  N</w:t>
      </w:r>
      <w:r w:rsidRPr="00EB1579">
        <w:rPr>
          <w:vertAlign w:val="subscript"/>
        </w:rPr>
        <w:t>design</w:t>
      </w:r>
      <w:r>
        <w:t xml:space="preserve"> at specific design traffic levels (</w:t>
      </w:r>
      <w:hyperlink r:id="rId58" w:history="1">
        <w:r w:rsidRPr="00B37E5E">
          <w:rPr>
            <w:rStyle w:val="Hyperlink"/>
            <w:rFonts w:cs="Arial"/>
          </w:rPr>
          <w:t>AAT 2011</w:t>
        </w:r>
      </w:hyperlink>
      <w:r>
        <w:t>).</w:t>
      </w:r>
      <w:bookmarkEnd w:id="92"/>
    </w:p>
    <w:tbl>
      <w:tblPr>
        <w:tblStyle w:val="TableGrid"/>
        <w:tblW w:w="0" w:type="auto"/>
        <w:jc w:val="center"/>
        <w:tblInd w:w="1174" w:type="dxa"/>
        <w:tblBorders>
          <w:top w:val="double" w:sz="4" w:space="0" w:color="auto"/>
          <w:left w:val="double" w:sz="4" w:space="0" w:color="auto"/>
          <w:bottom w:val="double" w:sz="4" w:space="0" w:color="auto"/>
          <w:right w:val="double" w:sz="4" w:space="0" w:color="auto"/>
          <w:insideH w:val="single" w:sz="4" w:space="0" w:color="000000" w:themeColor="text1"/>
          <w:insideV w:val="single" w:sz="4" w:space="0" w:color="000000" w:themeColor="text1"/>
        </w:tblBorders>
        <w:tblLook w:val="04A0" w:firstRow="1" w:lastRow="0" w:firstColumn="1" w:lastColumn="0" w:noHBand="0" w:noVBand="1"/>
      </w:tblPr>
      <w:tblGrid>
        <w:gridCol w:w="1736"/>
        <w:gridCol w:w="2498"/>
      </w:tblGrid>
      <w:tr w:rsidR="002D59F3" w:rsidTr="005E40AE">
        <w:trPr>
          <w:trHeight w:val="288"/>
          <w:jc w:val="center"/>
        </w:trPr>
        <w:tc>
          <w:tcPr>
            <w:tcW w:w="1736" w:type="dxa"/>
            <w:tcBorders>
              <w:top w:val="double" w:sz="4" w:space="0" w:color="auto"/>
              <w:bottom w:val="single" w:sz="4" w:space="0" w:color="000000" w:themeColor="text1"/>
            </w:tcBorders>
            <w:vAlign w:val="center"/>
          </w:tcPr>
          <w:p w:rsidR="002D59F3" w:rsidRDefault="005E40AE" w:rsidP="00AB6D6C">
            <w:pPr>
              <w:adjustRightInd w:val="0"/>
              <w:jc w:val="center"/>
              <w:rPr>
                <w:b/>
                <w:color w:val="000000" w:themeColor="text1"/>
                <w:spacing w:val="-2"/>
              </w:rPr>
            </w:pPr>
            <w:r>
              <w:rPr>
                <w:b/>
                <w:color w:val="7030A0"/>
                <w:spacing w:val="-2"/>
              </w:rPr>
              <w:t xml:space="preserve">Design </w:t>
            </w:r>
            <w:r w:rsidR="002D59F3">
              <w:rPr>
                <w:b/>
                <w:color w:val="000000" w:themeColor="text1"/>
                <w:spacing w:val="-2"/>
              </w:rPr>
              <w:t>Traffic</w:t>
            </w:r>
          </w:p>
          <w:p w:rsidR="005E40AE" w:rsidRPr="005E40AE" w:rsidRDefault="005E40AE" w:rsidP="00AB6D6C">
            <w:pPr>
              <w:adjustRightInd w:val="0"/>
              <w:jc w:val="center"/>
              <w:rPr>
                <w:b/>
                <w:color w:val="7030A0"/>
                <w:spacing w:val="-2"/>
              </w:rPr>
            </w:pPr>
            <w:r>
              <w:rPr>
                <w:b/>
                <w:color w:val="7030A0"/>
                <w:spacing w:val="-2"/>
              </w:rPr>
              <w:t>(MESALs)</w:t>
            </w:r>
          </w:p>
        </w:tc>
        <w:tc>
          <w:tcPr>
            <w:tcW w:w="2498" w:type="dxa"/>
            <w:tcBorders>
              <w:top w:val="double" w:sz="4" w:space="0" w:color="auto"/>
            </w:tcBorders>
            <w:vAlign w:val="center"/>
          </w:tcPr>
          <w:p w:rsidR="002D59F3" w:rsidRPr="00E234E5" w:rsidRDefault="002D59F3" w:rsidP="00AB6D6C">
            <w:pPr>
              <w:adjustRightInd w:val="0"/>
              <w:jc w:val="center"/>
              <w:rPr>
                <w:b/>
                <w:spacing w:val="-2"/>
              </w:rPr>
            </w:pPr>
            <w:r>
              <w:rPr>
                <w:b/>
                <w:spacing w:val="-2"/>
              </w:rPr>
              <w:t>Number of Gyrations</w:t>
            </w:r>
          </w:p>
        </w:tc>
      </w:tr>
      <w:tr w:rsidR="002D59F3" w:rsidRPr="00C630EE" w:rsidTr="005E40AE">
        <w:trPr>
          <w:jc w:val="center"/>
        </w:trPr>
        <w:tc>
          <w:tcPr>
            <w:tcW w:w="1736" w:type="dxa"/>
            <w:tcBorders>
              <w:top w:val="double" w:sz="4" w:space="0" w:color="auto"/>
            </w:tcBorders>
          </w:tcPr>
          <w:p w:rsidR="002D59F3" w:rsidRPr="00C630EE" w:rsidRDefault="002D59F3" w:rsidP="00AB6D6C">
            <w:pPr>
              <w:adjustRightInd w:val="0"/>
              <w:jc w:val="center"/>
              <w:rPr>
                <w:spacing w:val="-2"/>
                <w:szCs w:val="24"/>
              </w:rPr>
            </w:pPr>
            <w:r w:rsidRPr="00C630EE">
              <w:rPr>
                <w:spacing w:val="-2"/>
                <w:szCs w:val="24"/>
              </w:rPr>
              <w:t>&lt; 0.3</w:t>
            </w:r>
          </w:p>
        </w:tc>
        <w:tc>
          <w:tcPr>
            <w:tcW w:w="2498" w:type="dxa"/>
            <w:tcBorders>
              <w:top w:val="double" w:sz="4" w:space="0" w:color="auto"/>
            </w:tcBorders>
          </w:tcPr>
          <w:p w:rsidR="002D59F3" w:rsidRPr="00C630EE" w:rsidRDefault="002D59F3" w:rsidP="00AB6D6C">
            <w:pPr>
              <w:adjustRightInd w:val="0"/>
              <w:jc w:val="center"/>
              <w:rPr>
                <w:spacing w:val="-2"/>
                <w:szCs w:val="24"/>
              </w:rPr>
            </w:pPr>
            <w:r w:rsidRPr="00C630EE">
              <w:rPr>
                <w:spacing w:val="-2"/>
                <w:szCs w:val="24"/>
              </w:rPr>
              <w:t>50</w:t>
            </w:r>
          </w:p>
        </w:tc>
      </w:tr>
      <w:tr w:rsidR="002D59F3" w:rsidRPr="00C630EE" w:rsidTr="005E40AE">
        <w:trPr>
          <w:jc w:val="center"/>
        </w:trPr>
        <w:tc>
          <w:tcPr>
            <w:tcW w:w="1736" w:type="dxa"/>
          </w:tcPr>
          <w:p w:rsidR="002D59F3" w:rsidRPr="00C630EE" w:rsidRDefault="002D59F3" w:rsidP="00AB6D6C">
            <w:pPr>
              <w:adjustRightInd w:val="0"/>
              <w:jc w:val="center"/>
              <w:rPr>
                <w:spacing w:val="-2"/>
                <w:szCs w:val="24"/>
              </w:rPr>
            </w:pPr>
            <w:r w:rsidRPr="00C630EE">
              <w:rPr>
                <w:spacing w:val="-2"/>
                <w:szCs w:val="24"/>
              </w:rPr>
              <w:t>0.3</w:t>
            </w:r>
            <w:r>
              <w:rPr>
                <w:spacing w:val="-2"/>
                <w:szCs w:val="24"/>
              </w:rPr>
              <w:t xml:space="preserve"> to &gt; 3</w:t>
            </w:r>
          </w:p>
        </w:tc>
        <w:tc>
          <w:tcPr>
            <w:tcW w:w="2498" w:type="dxa"/>
          </w:tcPr>
          <w:p w:rsidR="002D59F3" w:rsidRPr="00C630EE" w:rsidRDefault="002D59F3" w:rsidP="00AB6D6C">
            <w:pPr>
              <w:adjustRightInd w:val="0"/>
              <w:jc w:val="center"/>
              <w:rPr>
                <w:spacing w:val="-2"/>
                <w:szCs w:val="24"/>
              </w:rPr>
            </w:pPr>
            <w:r>
              <w:rPr>
                <w:spacing w:val="-2"/>
                <w:szCs w:val="24"/>
              </w:rPr>
              <w:t>75</w:t>
            </w:r>
          </w:p>
        </w:tc>
      </w:tr>
      <w:tr w:rsidR="002D59F3" w:rsidRPr="00C630EE" w:rsidTr="005E40AE">
        <w:trPr>
          <w:jc w:val="center"/>
        </w:trPr>
        <w:tc>
          <w:tcPr>
            <w:tcW w:w="1736" w:type="dxa"/>
          </w:tcPr>
          <w:p w:rsidR="002D59F3" w:rsidRPr="00C630EE" w:rsidRDefault="002D59F3" w:rsidP="00AB6D6C">
            <w:pPr>
              <w:adjustRightInd w:val="0"/>
              <w:jc w:val="center"/>
              <w:rPr>
                <w:spacing w:val="-2"/>
                <w:szCs w:val="24"/>
              </w:rPr>
            </w:pPr>
            <w:r>
              <w:rPr>
                <w:spacing w:val="-2"/>
                <w:szCs w:val="24"/>
              </w:rPr>
              <w:t>3 to &lt; 10</w:t>
            </w:r>
          </w:p>
        </w:tc>
        <w:tc>
          <w:tcPr>
            <w:tcW w:w="2498" w:type="dxa"/>
          </w:tcPr>
          <w:p w:rsidR="002D59F3" w:rsidRPr="00C630EE" w:rsidRDefault="002D59F3" w:rsidP="00AB6D6C">
            <w:pPr>
              <w:adjustRightInd w:val="0"/>
              <w:jc w:val="center"/>
              <w:rPr>
                <w:spacing w:val="-2"/>
                <w:szCs w:val="24"/>
              </w:rPr>
            </w:pPr>
            <w:r>
              <w:rPr>
                <w:spacing w:val="-2"/>
                <w:szCs w:val="24"/>
              </w:rPr>
              <w:t>100</w:t>
            </w:r>
          </w:p>
        </w:tc>
      </w:tr>
      <w:tr w:rsidR="002D59F3" w:rsidRPr="00C630EE" w:rsidTr="005E40AE">
        <w:trPr>
          <w:jc w:val="center"/>
        </w:trPr>
        <w:tc>
          <w:tcPr>
            <w:tcW w:w="1736" w:type="dxa"/>
          </w:tcPr>
          <w:p w:rsidR="002D59F3" w:rsidRDefault="002D59F3" w:rsidP="00AB6D6C">
            <w:pPr>
              <w:adjustRightInd w:val="0"/>
              <w:jc w:val="center"/>
              <w:rPr>
                <w:spacing w:val="-2"/>
                <w:szCs w:val="24"/>
              </w:rPr>
            </w:pPr>
            <w:r>
              <w:rPr>
                <w:spacing w:val="-2"/>
                <w:szCs w:val="24"/>
              </w:rPr>
              <w:t>10 to &lt; 30</w:t>
            </w:r>
          </w:p>
        </w:tc>
        <w:tc>
          <w:tcPr>
            <w:tcW w:w="2498" w:type="dxa"/>
          </w:tcPr>
          <w:p w:rsidR="002D59F3" w:rsidRDefault="002D59F3" w:rsidP="00AB6D6C">
            <w:pPr>
              <w:adjustRightInd w:val="0"/>
              <w:jc w:val="center"/>
              <w:rPr>
                <w:spacing w:val="-2"/>
                <w:szCs w:val="24"/>
              </w:rPr>
            </w:pPr>
            <w:r>
              <w:rPr>
                <w:spacing w:val="-2"/>
                <w:szCs w:val="24"/>
              </w:rPr>
              <w:t>100</w:t>
            </w:r>
          </w:p>
        </w:tc>
      </w:tr>
      <w:tr w:rsidR="002D59F3" w:rsidRPr="00C630EE" w:rsidTr="005E40AE">
        <w:trPr>
          <w:jc w:val="center"/>
        </w:trPr>
        <w:tc>
          <w:tcPr>
            <w:tcW w:w="1736" w:type="dxa"/>
          </w:tcPr>
          <w:p w:rsidR="002D59F3" w:rsidRDefault="002D59F3" w:rsidP="00AB6D6C">
            <w:pPr>
              <w:adjustRightInd w:val="0"/>
              <w:jc w:val="center"/>
              <w:rPr>
                <w:spacing w:val="-2"/>
                <w:szCs w:val="24"/>
              </w:rPr>
            </w:pPr>
            <w:r>
              <w:rPr>
                <w:spacing w:val="-2"/>
                <w:szCs w:val="24"/>
              </w:rPr>
              <w:sym w:font="Symbol" w:char="F0B3"/>
            </w:r>
            <w:r>
              <w:rPr>
                <w:spacing w:val="-2"/>
                <w:szCs w:val="24"/>
              </w:rPr>
              <w:t xml:space="preserve"> 30</w:t>
            </w:r>
          </w:p>
        </w:tc>
        <w:tc>
          <w:tcPr>
            <w:tcW w:w="2498" w:type="dxa"/>
          </w:tcPr>
          <w:p w:rsidR="002D59F3" w:rsidRDefault="002D59F3" w:rsidP="00AB6D6C">
            <w:pPr>
              <w:adjustRightInd w:val="0"/>
              <w:jc w:val="center"/>
              <w:rPr>
                <w:spacing w:val="-2"/>
                <w:szCs w:val="24"/>
              </w:rPr>
            </w:pPr>
            <w:r>
              <w:rPr>
                <w:spacing w:val="-2"/>
                <w:szCs w:val="24"/>
              </w:rPr>
              <w:t>125</w:t>
            </w:r>
          </w:p>
        </w:tc>
      </w:tr>
    </w:tbl>
    <w:p w:rsidR="002D59F3" w:rsidRDefault="002D59F3" w:rsidP="002D59F3">
      <w:pPr>
        <w:adjustRightInd w:val="0"/>
        <w:rPr>
          <w:spacing w:val="-2"/>
        </w:rPr>
      </w:pPr>
    </w:p>
    <w:p w:rsidR="002D59F3" w:rsidRDefault="002D59F3" w:rsidP="002D59F3">
      <w:pPr>
        <w:adjustRightInd w:val="0"/>
        <w:rPr>
          <w:spacing w:val="-2"/>
        </w:rPr>
      </w:pPr>
    </w:p>
    <w:p w:rsidR="002D59F3" w:rsidRDefault="002D59F3" w:rsidP="002D59F3">
      <w:r>
        <w:t xml:space="preserve">Table </w:t>
      </w:r>
      <w:r w:rsidR="00A806A8">
        <w:t>3-</w:t>
      </w:r>
      <w:r w:rsidR="00A806A8" w:rsidRPr="007D3590">
        <w:rPr>
          <w:color w:val="FF0000"/>
        </w:rPr>
        <w:t>1</w:t>
      </w:r>
      <w:r w:rsidR="007D3590" w:rsidRPr="007D3590">
        <w:rPr>
          <w:color w:val="FF0000"/>
        </w:rPr>
        <w:t>2</w:t>
      </w:r>
      <w:r w:rsidR="006E006F">
        <w:rPr>
          <w:color w:val="FF0000"/>
        </w:rPr>
        <w:t xml:space="preserve"> </w:t>
      </w:r>
      <w:r w:rsidR="00A806A8">
        <w:t>,</w:t>
      </w:r>
      <w:r>
        <w:t xml:space="preserve"> N</w:t>
      </w:r>
      <w:r>
        <w:rPr>
          <w:vertAlign w:val="subscript"/>
        </w:rPr>
        <w:t>design</w:t>
      </w:r>
      <w:r>
        <w:t xml:space="preserve"> corresponds to the level of compaction that is expected to be obtained at an air void content of 4 percent.</w:t>
      </w:r>
    </w:p>
    <w:p w:rsidR="002D59F3" w:rsidRDefault="002D59F3" w:rsidP="002D59F3"/>
    <w:p w:rsidR="002D59F3" w:rsidRPr="00B808F4" w:rsidRDefault="002D59F3" w:rsidP="0031494D">
      <w:pPr>
        <w:rPr>
          <w:color w:val="000000" w:themeColor="text1"/>
        </w:rPr>
      </w:pPr>
    </w:p>
    <w:p w:rsidR="00AB6CA2" w:rsidRDefault="00815C5A" w:rsidP="00B808F4">
      <w:pPr>
        <w:jc w:val="center"/>
      </w:pPr>
      <w:r w:rsidRPr="00815C5A">
        <w:rPr>
          <w:noProof/>
        </w:rPr>
        <w:drawing>
          <wp:inline distT="0" distB="0" distL="0" distR="0">
            <wp:extent cx="5760720" cy="3983587"/>
            <wp:effectExtent l="19050" t="0" r="0" b="0"/>
            <wp:docPr id="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srcRect l="16048" t="25608" r="17361" b="4830"/>
                    <a:stretch>
                      <a:fillRect/>
                    </a:stretch>
                  </pic:blipFill>
                  <pic:spPr bwMode="auto">
                    <a:xfrm>
                      <a:off x="0" y="0"/>
                      <a:ext cx="5760720" cy="3983587"/>
                    </a:xfrm>
                    <a:prstGeom prst="rect">
                      <a:avLst/>
                    </a:prstGeom>
                    <a:noFill/>
                    <a:ln w="9525">
                      <a:noFill/>
                      <a:miter lim="800000"/>
                      <a:headEnd/>
                      <a:tailEnd/>
                    </a:ln>
                  </pic:spPr>
                </pic:pic>
              </a:graphicData>
            </a:graphic>
          </wp:inline>
        </w:drawing>
      </w:r>
    </w:p>
    <w:p w:rsidR="00AB6CA2" w:rsidRPr="00DE00CA" w:rsidRDefault="00B808F4" w:rsidP="004B4E81">
      <w:pPr>
        <w:pStyle w:val="APTechFigureCaption"/>
      </w:pPr>
      <w:bookmarkStart w:id="94" w:name="_Ref274556809"/>
      <w:bookmarkStart w:id="95" w:name="f19"/>
      <w:bookmarkStart w:id="96" w:name="_Toc295918043"/>
      <w:r>
        <w:t>Figure</w:t>
      </w:r>
      <w:bookmarkEnd w:id="94"/>
      <w:r w:rsidR="002918A7">
        <w:t xml:space="preserve"> </w:t>
      </w:r>
      <w:r w:rsidR="00F3038B">
        <w:t>3-</w:t>
      </w:r>
      <w:r w:rsidR="00EE5810">
        <w:t>1</w:t>
      </w:r>
      <w:bookmarkEnd w:id="95"/>
      <w:r w:rsidR="00CC4DEE">
        <w:t>5</w:t>
      </w:r>
      <w:r w:rsidR="00AB6CA2">
        <w:t xml:space="preserve">. </w:t>
      </w:r>
      <w:r>
        <w:t xml:space="preserve"> </w:t>
      </w:r>
      <w:r w:rsidR="00AB6CA2">
        <w:t>Superpave gyratory compactor</w:t>
      </w:r>
      <w:r w:rsidR="00C94A98">
        <w:t xml:space="preserve"> (FHWA 2010)</w:t>
      </w:r>
      <w:r w:rsidR="00AB6CA2">
        <w:t>.</w:t>
      </w:r>
      <w:bookmarkEnd w:id="96"/>
    </w:p>
    <w:p w:rsidR="00AB6CA2" w:rsidRDefault="00AB6CA2" w:rsidP="00B808F4"/>
    <w:p w:rsidR="00C630EE" w:rsidRDefault="00C630EE" w:rsidP="00B808F4"/>
    <w:p w:rsidR="00010C84" w:rsidRDefault="003F1B57">
      <w:r>
        <w:t>M</w:t>
      </w:r>
      <w:r w:rsidR="00AB6CA2">
        <w:t>ixture design plots are generated with percent G</w:t>
      </w:r>
      <w:r w:rsidR="00AB6CA2">
        <w:rPr>
          <w:vertAlign w:val="subscript"/>
        </w:rPr>
        <w:t>mm</w:t>
      </w:r>
      <w:r w:rsidR="00AB6CA2">
        <w:t xml:space="preserve"> on the vertical axis and number of gyrations on the horizontal axis, allowing comparisons to be made between the three aggregate structures and three binder contents to select the mixture(s) that </w:t>
      </w:r>
      <w:r w:rsidR="00B808F4">
        <w:t>best meet the design criteria.</w:t>
      </w:r>
      <w:r>
        <w:t xml:space="preserve">  Mixture selection should also target 4.0 percent air voids (</w:t>
      </w:r>
      <w:r w:rsidR="001A536F">
        <w:t xml:space="preserve">typical </w:t>
      </w:r>
      <w:r>
        <w:t xml:space="preserve">range of 3.5 to </w:t>
      </w:r>
      <w:r w:rsidR="001A536F">
        <w:t>4.5</w:t>
      </w:r>
      <w:r>
        <w:t>) and VMA as shown in Table 3-</w:t>
      </w:r>
      <w:r w:rsidR="004C5C42">
        <w:t>1</w:t>
      </w:r>
      <w:r w:rsidR="00CC4DEE">
        <w:t>3</w:t>
      </w:r>
      <w:r>
        <w:t>.</w:t>
      </w:r>
    </w:p>
    <w:p w:rsidR="00EA5770" w:rsidRDefault="00EA5770"/>
    <w:p w:rsidR="003F1B57" w:rsidRDefault="003F1B57" w:rsidP="003F1B57">
      <w:pPr>
        <w:pStyle w:val="Heading9"/>
      </w:pPr>
      <w:r>
        <w:t>Table 3-</w:t>
      </w:r>
      <w:r w:rsidR="004C5C42">
        <w:t>1</w:t>
      </w:r>
      <w:r w:rsidR="00CC4DEE">
        <w:t>3</w:t>
      </w:r>
      <w:r>
        <w:t xml:space="preserve">.  VMA targets </w:t>
      </w:r>
      <w:r w:rsidR="008477D0">
        <w:t>by</w:t>
      </w:r>
      <w:r>
        <w:t xml:space="preserve"> nominal maximum aggregate size (</w:t>
      </w:r>
      <w:hyperlink r:id="rId60" w:history="1">
        <w:r w:rsidRPr="00B37E5E">
          <w:rPr>
            <w:rStyle w:val="Hyperlink"/>
            <w:rFonts w:cs="Arial"/>
          </w:rPr>
          <w:t>AAT 2011</w:t>
        </w:r>
      </w:hyperlink>
      <w:r>
        <w:t>).</w:t>
      </w:r>
    </w:p>
    <w:tbl>
      <w:tblPr>
        <w:tblStyle w:val="TableGrid"/>
        <w:tblW w:w="0" w:type="auto"/>
        <w:jc w:val="center"/>
        <w:tblInd w:w="1260" w:type="dxa"/>
        <w:tblBorders>
          <w:top w:val="double" w:sz="4" w:space="0" w:color="auto"/>
          <w:left w:val="double" w:sz="4" w:space="0" w:color="auto"/>
          <w:bottom w:val="double" w:sz="4" w:space="0" w:color="auto"/>
          <w:right w:val="double" w:sz="4" w:space="0" w:color="auto"/>
          <w:insideH w:val="single" w:sz="4" w:space="0" w:color="000000" w:themeColor="text1"/>
          <w:insideV w:val="single" w:sz="4" w:space="0" w:color="000000" w:themeColor="text1"/>
        </w:tblBorders>
        <w:tblLook w:val="04A0" w:firstRow="1" w:lastRow="0" w:firstColumn="1" w:lastColumn="0" w:noHBand="0" w:noVBand="1"/>
      </w:tblPr>
      <w:tblGrid>
        <w:gridCol w:w="2304"/>
        <w:gridCol w:w="1728"/>
        <w:gridCol w:w="1728"/>
      </w:tblGrid>
      <w:tr w:rsidR="003F1B57" w:rsidTr="001A536F">
        <w:trPr>
          <w:trHeight w:val="582"/>
          <w:jc w:val="center"/>
        </w:trPr>
        <w:tc>
          <w:tcPr>
            <w:tcW w:w="2304" w:type="dxa"/>
            <w:tcBorders>
              <w:top w:val="double" w:sz="4" w:space="0" w:color="auto"/>
              <w:bottom w:val="double" w:sz="4" w:space="0" w:color="auto"/>
            </w:tcBorders>
            <w:vAlign w:val="center"/>
          </w:tcPr>
          <w:p w:rsidR="003F1B57" w:rsidRPr="00B808F4" w:rsidRDefault="003F1B57" w:rsidP="008477D0">
            <w:pPr>
              <w:adjustRightInd w:val="0"/>
              <w:jc w:val="center"/>
              <w:rPr>
                <w:b/>
                <w:color w:val="000000" w:themeColor="text1"/>
                <w:spacing w:val="-2"/>
              </w:rPr>
            </w:pPr>
            <w:r>
              <w:rPr>
                <w:b/>
                <w:color w:val="000000" w:themeColor="text1"/>
                <w:spacing w:val="-2"/>
              </w:rPr>
              <w:t>Nominal Maximum Aggregate Size</w:t>
            </w:r>
          </w:p>
        </w:tc>
        <w:tc>
          <w:tcPr>
            <w:tcW w:w="1728" w:type="dxa"/>
            <w:tcBorders>
              <w:top w:val="double" w:sz="4" w:space="0" w:color="auto"/>
              <w:bottom w:val="double" w:sz="4" w:space="0" w:color="auto"/>
            </w:tcBorders>
            <w:vAlign w:val="center"/>
          </w:tcPr>
          <w:p w:rsidR="003F1B57" w:rsidRPr="001A536F" w:rsidRDefault="003F1B57" w:rsidP="003F1B57">
            <w:pPr>
              <w:adjustRightInd w:val="0"/>
              <w:jc w:val="center"/>
              <w:rPr>
                <w:b/>
                <w:spacing w:val="-2"/>
                <w:szCs w:val="24"/>
              </w:rPr>
            </w:pPr>
            <w:r w:rsidRPr="001A536F">
              <w:rPr>
                <w:b/>
                <w:spacing w:val="-2"/>
                <w:szCs w:val="24"/>
              </w:rPr>
              <w:t>Minimum VMA</w:t>
            </w:r>
            <w:r w:rsidRPr="001A536F">
              <w:rPr>
                <w:b/>
                <w:spacing w:val="-2"/>
                <w:szCs w:val="24"/>
              </w:rPr>
              <w:br/>
              <w:t>(%)</w:t>
            </w:r>
          </w:p>
        </w:tc>
        <w:tc>
          <w:tcPr>
            <w:tcW w:w="1728" w:type="dxa"/>
            <w:tcBorders>
              <w:top w:val="double" w:sz="4" w:space="0" w:color="auto"/>
              <w:bottom w:val="double" w:sz="4" w:space="0" w:color="auto"/>
            </w:tcBorders>
            <w:vAlign w:val="center"/>
          </w:tcPr>
          <w:p w:rsidR="003F1B57" w:rsidRPr="00E234E5" w:rsidRDefault="003F1B57" w:rsidP="00136622">
            <w:pPr>
              <w:adjustRightInd w:val="0"/>
              <w:jc w:val="center"/>
              <w:rPr>
                <w:b/>
                <w:spacing w:val="-2"/>
              </w:rPr>
            </w:pPr>
            <w:r>
              <w:rPr>
                <w:b/>
                <w:spacing w:val="-2"/>
              </w:rPr>
              <w:t>Maximum VMA</w:t>
            </w:r>
            <w:r>
              <w:rPr>
                <w:b/>
                <w:spacing w:val="-2"/>
              </w:rPr>
              <w:br/>
              <w:t>(%)</w:t>
            </w:r>
          </w:p>
        </w:tc>
      </w:tr>
      <w:tr w:rsidR="003F1B57" w:rsidRPr="00C630EE" w:rsidTr="001A536F">
        <w:trPr>
          <w:jc w:val="center"/>
        </w:trPr>
        <w:tc>
          <w:tcPr>
            <w:tcW w:w="2304" w:type="dxa"/>
            <w:tcBorders>
              <w:top w:val="double" w:sz="4" w:space="0" w:color="auto"/>
            </w:tcBorders>
          </w:tcPr>
          <w:p w:rsidR="003F1B57" w:rsidRPr="00C630EE" w:rsidRDefault="008477D0" w:rsidP="00136622">
            <w:pPr>
              <w:adjustRightInd w:val="0"/>
              <w:jc w:val="center"/>
              <w:rPr>
                <w:spacing w:val="-2"/>
                <w:szCs w:val="24"/>
              </w:rPr>
            </w:pPr>
            <w:r>
              <w:rPr>
                <w:spacing w:val="-2"/>
                <w:szCs w:val="24"/>
              </w:rPr>
              <w:t>No. 4</w:t>
            </w:r>
          </w:p>
        </w:tc>
        <w:tc>
          <w:tcPr>
            <w:tcW w:w="1728" w:type="dxa"/>
            <w:tcBorders>
              <w:top w:val="double" w:sz="4" w:space="0" w:color="auto"/>
            </w:tcBorders>
          </w:tcPr>
          <w:p w:rsidR="003F1B57" w:rsidRPr="00C630EE" w:rsidRDefault="008477D0" w:rsidP="00136622">
            <w:pPr>
              <w:adjustRightInd w:val="0"/>
              <w:jc w:val="center"/>
              <w:rPr>
                <w:spacing w:val="-2"/>
                <w:szCs w:val="24"/>
              </w:rPr>
            </w:pPr>
            <w:r>
              <w:rPr>
                <w:spacing w:val="-2"/>
                <w:szCs w:val="24"/>
              </w:rPr>
              <w:t>16</w:t>
            </w:r>
          </w:p>
        </w:tc>
        <w:tc>
          <w:tcPr>
            <w:tcW w:w="1728" w:type="dxa"/>
            <w:tcBorders>
              <w:top w:val="double" w:sz="4" w:space="0" w:color="auto"/>
            </w:tcBorders>
          </w:tcPr>
          <w:p w:rsidR="003F1B57" w:rsidRPr="00C630EE" w:rsidRDefault="008477D0" w:rsidP="00136622">
            <w:pPr>
              <w:adjustRightInd w:val="0"/>
              <w:jc w:val="center"/>
              <w:rPr>
                <w:spacing w:val="-2"/>
                <w:szCs w:val="24"/>
              </w:rPr>
            </w:pPr>
            <w:r>
              <w:rPr>
                <w:spacing w:val="-2"/>
                <w:szCs w:val="24"/>
              </w:rPr>
              <w:t>18</w:t>
            </w:r>
          </w:p>
        </w:tc>
      </w:tr>
      <w:tr w:rsidR="003F1B57" w:rsidRPr="00C630EE" w:rsidTr="001A536F">
        <w:trPr>
          <w:jc w:val="center"/>
        </w:trPr>
        <w:tc>
          <w:tcPr>
            <w:tcW w:w="2304" w:type="dxa"/>
          </w:tcPr>
          <w:p w:rsidR="003F1B57" w:rsidRPr="00C630EE" w:rsidRDefault="008477D0" w:rsidP="00136622">
            <w:pPr>
              <w:adjustRightInd w:val="0"/>
              <w:jc w:val="center"/>
              <w:rPr>
                <w:spacing w:val="-2"/>
                <w:szCs w:val="24"/>
              </w:rPr>
            </w:pPr>
            <w:r>
              <w:rPr>
                <w:spacing w:val="-2"/>
                <w:szCs w:val="24"/>
              </w:rPr>
              <w:t>3/8 in</w:t>
            </w:r>
          </w:p>
        </w:tc>
        <w:tc>
          <w:tcPr>
            <w:tcW w:w="1728" w:type="dxa"/>
            <w:vAlign w:val="center"/>
          </w:tcPr>
          <w:p w:rsidR="003F1B57" w:rsidRPr="00C630EE" w:rsidRDefault="008477D0" w:rsidP="008477D0">
            <w:pPr>
              <w:adjustRightInd w:val="0"/>
              <w:jc w:val="center"/>
              <w:rPr>
                <w:spacing w:val="-2"/>
                <w:szCs w:val="24"/>
              </w:rPr>
            </w:pPr>
            <w:r>
              <w:rPr>
                <w:spacing w:val="-2"/>
                <w:szCs w:val="24"/>
              </w:rPr>
              <w:t>15</w:t>
            </w:r>
          </w:p>
        </w:tc>
        <w:tc>
          <w:tcPr>
            <w:tcW w:w="1728" w:type="dxa"/>
          </w:tcPr>
          <w:p w:rsidR="003F1B57" w:rsidRPr="00C630EE" w:rsidRDefault="008477D0" w:rsidP="00136622">
            <w:pPr>
              <w:adjustRightInd w:val="0"/>
              <w:jc w:val="center"/>
              <w:rPr>
                <w:spacing w:val="-2"/>
                <w:szCs w:val="24"/>
              </w:rPr>
            </w:pPr>
            <w:r>
              <w:rPr>
                <w:spacing w:val="-2"/>
                <w:szCs w:val="24"/>
              </w:rPr>
              <w:t>17</w:t>
            </w:r>
          </w:p>
        </w:tc>
      </w:tr>
      <w:tr w:rsidR="003F1B57" w:rsidRPr="00C630EE" w:rsidTr="001A536F">
        <w:trPr>
          <w:jc w:val="center"/>
        </w:trPr>
        <w:tc>
          <w:tcPr>
            <w:tcW w:w="2304" w:type="dxa"/>
          </w:tcPr>
          <w:p w:rsidR="003F1B57" w:rsidRPr="00C630EE" w:rsidRDefault="008477D0" w:rsidP="00136622">
            <w:pPr>
              <w:adjustRightInd w:val="0"/>
              <w:jc w:val="center"/>
              <w:rPr>
                <w:spacing w:val="-2"/>
                <w:szCs w:val="24"/>
              </w:rPr>
            </w:pPr>
            <w:r>
              <w:rPr>
                <w:spacing w:val="-2"/>
                <w:szCs w:val="24"/>
              </w:rPr>
              <w:t>1/2 in</w:t>
            </w:r>
          </w:p>
        </w:tc>
        <w:tc>
          <w:tcPr>
            <w:tcW w:w="1728" w:type="dxa"/>
          </w:tcPr>
          <w:p w:rsidR="003F1B57" w:rsidRPr="00C630EE" w:rsidRDefault="008477D0" w:rsidP="00136622">
            <w:pPr>
              <w:adjustRightInd w:val="0"/>
              <w:jc w:val="center"/>
              <w:rPr>
                <w:spacing w:val="-2"/>
                <w:szCs w:val="24"/>
              </w:rPr>
            </w:pPr>
            <w:r>
              <w:rPr>
                <w:spacing w:val="-2"/>
                <w:szCs w:val="24"/>
              </w:rPr>
              <w:t>14</w:t>
            </w:r>
          </w:p>
        </w:tc>
        <w:tc>
          <w:tcPr>
            <w:tcW w:w="1728" w:type="dxa"/>
          </w:tcPr>
          <w:p w:rsidR="003F1B57" w:rsidRPr="00C630EE" w:rsidRDefault="008477D0" w:rsidP="00136622">
            <w:pPr>
              <w:adjustRightInd w:val="0"/>
              <w:jc w:val="center"/>
              <w:rPr>
                <w:spacing w:val="-2"/>
                <w:szCs w:val="24"/>
              </w:rPr>
            </w:pPr>
            <w:r>
              <w:rPr>
                <w:spacing w:val="-2"/>
                <w:szCs w:val="24"/>
              </w:rPr>
              <w:t>16</w:t>
            </w:r>
          </w:p>
        </w:tc>
      </w:tr>
      <w:tr w:rsidR="003F1B57" w:rsidRPr="00C630EE" w:rsidTr="001A536F">
        <w:trPr>
          <w:jc w:val="center"/>
        </w:trPr>
        <w:tc>
          <w:tcPr>
            <w:tcW w:w="2304" w:type="dxa"/>
          </w:tcPr>
          <w:p w:rsidR="003F1B57" w:rsidRDefault="001A536F" w:rsidP="00136622">
            <w:pPr>
              <w:adjustRightInd w:val="0"/>
              <w:jc w:val="center"/>
              <w:rPr>
                <w:spacing w:val="-2"/>
                <w:szCs w:val="24"/>
              </w:rPr>
            </w:pPr>
            <w:r>
              <w:rPr>
                <w:spacing w:val="-2"/>
                <w:szCs w:val="24"/>
              </w:rPr>
              <w:t>3/4 in</w:t>
            </w:r>
          </w:p>
        </w:tc>
        <w:tc>
          <w:tcPr>
            <w:tcW w:w="1728" w:type="dxa"/>
          </w:tcPr>
          <w:p w:rsidR="003F1B57" w:rsidRDefault="001A536F" w:rsidP="00136622">
            <w:pPr>
              <w:adjustRightInd w:val="0"/>
              <w:jc w:val="center"/>
              <w:rPr>
                <w:spacing w:val="-2"/>
                <w:szCs w:val="24"/>
              </w:rPr>
            </w:pPr>
            <w:r>
              <w:rPr>
                <w:spacing w:val="-2"/>
                <w:szCs w:val="24"/>
              </w:rPr>
              <w:t>13</w:t>
            </w:r>
          </w:p>
        </w:tc>
        <w:tc>
          <w:tcPr>
            <w:tcW w:w="1728" w:type="dxa"/>
          </w:tcPr>
          <w:p w:rsidR="003F1B57" w:rsidRDefault="001A536F" w:rsidP="00136622">
            <w:pPr>
              <w:adjustRightInd w:val="0"/>
              <w:jc w:val="center"/>
              <w:rPr>
                <w:spacing w:val="-2"/>
                <w:szCs w:val="24"/>
              </w:rPr>
            </w:pPr>
            <w:r>
              <w:rPr>
                <w:spacing w:val="-2"/>
                <w:szCs w:val="24"/>
              </w:rPr>
              <w:t>15</w:t>
            </w:r>
          </w:p>
        </w:tc>
      </w:tr>
      <w:tr w:rsidR="003F1B57" w:rsidRPr="00C630EE" w:rsidTr="001A536F">
        <w:trPr>
          <w:jc w:val="center"/>
        </w:trPr>
        <w:tc>
          <w:tcPr>
            <w:tcW w:w="2304" w:type="dxa"/>
          </w:tcPr>
          <w:p w:rsidR="003F1B57" w:rsidRDefault="001A536F" w:rsidP="00136622">
            <w:pPr>
              <w:adjustRightInd w:val="0"/>
              <w:jc w:val="center"/>
              <w:rPr>
                <w:spacing w:val="-2"/>
                <w:szCs w:val="24"/>
              </w:rPr>
            </w:pPr>
            <w:r>
              <w:rPr>
                <w:spacing w:val="-2"/>
                <w:szCs w:val="24"/>
              </w:rPr>
              <w:t>1 in</w:t>
            </w:r>
          </w:p>
        </w:tc>
        <w:tc>
          <w:tcPr>
            <w:tcW w:w="1728" w:type="dxa"/>
          </w:tcPr>
          <w:p w:rsidR="003F1B57" w:rsidRDefault="001A536F" w:rsidP="00136622">
            <w:pPr>
              <w:adjustRightInd w:val="0"/>
              <w:jc w:val="center"/>
              <w:rPr>
                <w:spacing w:val="-2"/>
                <w:szCs w:val="24"/>
              </w:rPr>
            </w:pPr>
            <w:r>
              <w:rPr>
                <w:spacing w:val="-2"/>
                <w:szCs w:val="24"/>
              </w:rPr>
              <w:t>12</w:t>
            </w:r>
          </w:p>
        </w:tc>
        <w:tc>
          <w:tcPr>
            <w:tcW w:w="1728" w:type="dxa"/>
          </w:tcPr>
          <w:p w:rsidR="003F1B57" w:rsidRDefault="001A536F" w:rsidP="00136622">
            <w:pPr>
              <w:adjustRightInd w:val="0"/>
              <w:jc w:val="center"/>
              <w:rPr>
                <w:spacing w:val="-2"/>
                <w:szCs w:val="24"/>
              </w:rPr>
            </w:pPr>
            <w:r>
              <w:rPr>
                <w:spacing w:val="-2"/>
                <w:szCs w:val="24"/>
              </w:rPr>
              <w:t>14</w:t>
            </w:r>
          </w:p>
        </w:tc>
      </w:tr>
      <w:tr w:rsidR="001A536F" w:rsidRPr="00C630EE" w:rsidTr="001A536F">
        <w:trPr>
          <w:jc w:val="center"/>
        </w:trPr>
        <w:tc>
          <w:tcPr>
            <w:tcW w:w="2304" w:type="dxa"/>
          </w:tcPr>
          <w:p w:rsidR="001A536F" w:rsidRDefault="001A536F" w:rsidP="00136622">
            <w:pPr>
              <w:adjustRightInd w:val="0"/>
              <w:jc w:val="center"/>
              <w:rPr>
                <w:spacing w:val="-2"/>
                <w:szCs w:val="24"/>
              </w:rPr>
            </w:pPr>
            <w:r>
              <w:rPr>
                <w:spacing w:val="-2"/>
                <w:szCs w:val="24"/>
              </w:rPr>
              <w:t>1-1/2 in</w:t>
            </w:r>
          </w:p>
        </w:tc>
        <w:tc>
          <w:tcPr>
            <w:tcW w:w="1728" w:type="dxa"/>
          </w:tcPr>
          <w:p w:rsidR="001A536F" w:rsidRDefault="001A536F" w:rsidP="00136622">
            <w:pPr>
              <w:adjustRightInd w:val="0"/>
              <w:jc w:val="center"/>
              <w:rPr>
                <w:spacing w:val="-2"/>
                <w:szCs w:val="24"/>
              </w:rPr>
            </w:pPr>
            <w:r>
              <w:rPr>
                <w:spacing w:val="-2"/>
                <w:szCs w:val="24"/>
              </w:rPr>
              <w:t>11</w:t>
            </w:r>
          </w:p>
        </w:tc>
        <w:tc>
          <w:tcPr>
            <w:tcW w:w="1728" w:type="dxa"/>
          </w:tcPr>
          <w:p w:rsidR="001A536F" w:rsidRDefault="001A536F" w:rsidP="00136622">
            <w:pPr>
              <w:adjustRightInd w:val="0"/>
              <w:jc w:val="center"/>
              <w:rPr>
                <w:spacing w:val="-2"/>
                <w:szCs w:val="24"/>
              </w:rPr>
            </w:pPr>
            <w:r>
              <w:rPr>
                <w:spacing w:val="-2"/>
                <w:szCs w:val="24"/>
              </w:rPr>
              <w:t>13</w:t>
            </w:r>
          </w:p>
        </w:tc>
      </w:tr>
    </w:tbl>
    <w:p w:rsidR="003F1B57" w:rsidRDefault="003F1B57"/>
    <w:p w:rsidR="00AB6CA2" w:rsidRDefault="00AB6CA2" w:rsidP="0031494D">
      <w:r>
        <w:t>An additional criterion is called the dust proportion (DP), which is the ratio of percent aggregate passing the No</w:t>
      </w:r>
      <w:r w:rsidR="00E0076F">
        <w:t>.</w:t>
      </w:r>
      <w:r>
        <w:t xml:space="preserve"> 200 sieve (dust) and the effective binder content.  The DP should </w:t>
      </w:r>
      <w:r w:rsidR="002667B3">
        <w:t>be</w:t>
      </w:r>
      <w:r>
        <w:t xml:space="preserve"> between 0.6 </w:t>
      </w:r>
      <w:r w:rsidR="005B6DE1">
        <w:rPr>
          <w:color w:val="8064A2" w:themeColor="accent4"/>
        </w:rPr>
        <w:t>and</w:t>
      </w:r>
      <w:r>
        <w:t xml:space="preserve"> 1.2.</w:t>
      </w:r>
    </w:p>
    <w:p w:rsidR="005B6DE1" w:rsidRDefault="005B6DE1" w:rsidP="00F24194">
      <w:pPr>
        <w:pStyle w:val="Heading5"/>
      </w:pPr>
    </w:p>
    <w:p w:rsidR="00AB6CA2" w:rsidRDefault="00AB6CA2" w:rsidP="00F24194">
      <w:pPr>
        <w:pStyle w:val="Heading5"/>
      </w:pPr>
      <w:r>
        <w:t xml:space="preserve">Determine </w:t>
      </w:r>
      <w:r w:rsidR="00F24194">
        <w:t>D</w:t>
      </w:r>
      <w:r>
        <w:t xml:space="preserve">esign </w:t>
      </w:r>
      <w:r w:rsidR="00F24194">
        <w:t>B</w:t>
      </w:r>
      <w:r>
        <w:t xml:space="preserve">inder </w:t>
      </w:r>
      <w:r w:rsidR="00F24194">
        <w:t>Co</w:t>
      </w:r>
      <w:r>
        <w:t>ntent</w:t>
      </w:r>
    </w:p>
    <w:p w:rsidR="00AB6CA2" w:rsidRDefault="00AB6CA2" w:rsidP="00F24194">
      <w:r>
        <w:t xml:space="preserve">An additional eight specimens are prepared, two at each of </w:t>
      </w:r>
      <w:r w:rsidR="00E0076F">
        <w:t xml:space="preserve">the </w:t>
      </w:r>
      <w:r>
        <w:t>four binder contents.  Binder contents are selected to be the estimated optimum, 0.5 percent less than optimum, 0.5 percent above optimum, and 1.0 percent above optimum.  The volumetric properties are determined, generating plots of VTM, VMA, VFA, percent G</w:t>
      </w:r>
      <w:r>
        <w:rPr>
          <w:vertAlign w:val="subscript"/>
        </w:rPr>
        <w:t>mm</w:t>
      </w:r>
      <w:r>
        <w:t>, and DP on the vertical axis against pe</w:t>
      </w:r>
      <w:r w:rsidR="00C42D06">
        <w:t>r</w:t>
      </w:r>
      <w:r>
        <w:t>cent binder.  Based on these results, the optimum binder content is selected and verified with additional specimens.</w:t>
      </w:r>
    </w:p>
    <w:p w:rsidR="00AB6CA2" w:rsidRDefault="00AB6CA2" w:rsidP="00F24194"/>
    <w:p w:rsidR="00AB6CA2" w:rsidRDefault="00AB6CA2" w:rsidP="00F24194">
      <w:pPr>
        <w:pStyle w:val="Heading5"/>
      </w:pPr>
      <w:r>
        <w:t xml:space="preserve">Evaluate </w:t>
      </w:r>
      <w:r w:rsidR="00F24194">
        <w:t>M</w:t>
      </w:r>
      <w:r>
        <w:t xml:space="preserve">oisture </w:t>
      </w:r>
      <w:r w:rsidR="00F24194">
        <w:t>S</w:t>
      </w:r>
      <w:r>
        <w:t>usceptibility</w:t>
      </w:r>
    </w:p>
    <w:p w:rsidR="00AB6CA2" w:rsidRPr="00553C41" w:rsidRDefault="00AB6CA2" w:rsidP="00F24194">
      <w:r>
        <w:t xml:space="preserve">AASHTO T 283, </w:t>
      </w:r>
      <w:r>
        <w:rPr>
          <w:i/>
        </w:rPr>
        <w:t>Standard Method of Test for Resistance of Compacted Hot Mix Asphalt (HMA) to Moisture Induced Damage</w:t>
      </w:r>
      <w:r>
        <w:t xml:space="preserve"> is used to determine the moisture susceptibility of the design mixture.  Mixes must achieve a tensile strength ratio (TSR) of 80 percent or greater, which is the ratio of the tensile strength of the mixture after conditioning to that prior to conditioning.  Mixtures found to be susceptible to moisture damage must be treated with an acceptable anti-stripping additive</w:t>
      </w:r>
    </w:p>
    <w:p w:rsidR="004774B9" w:rsidRDefault="004774B9" w:rsidP="00C42D06"/>
    <w:p w:rsidR="004774B9" w:rsidRDefault="004774B9" w:rsidP="004774B9">
      <w:pPr>
        <w:pStyle w:val="Heading2"/>
      </w:pPr>
      <w:bookmarkStart w:id="97" w:name="_Toc295918637"/>
      <w:r>
        <w:t>Concrete</w:t>
      </w:r>
      <w:bookmarkEnd w:id="97"/>
      <w:r w:rsidR="00D91B6B">
        <w:t xml:space="preserve"> Pavement</w:t>
      </w:r>
    </w:p>
    <w:p w:rsidR="004774B9" w:rsidRDefault="004774B9" w:rsidP="004774B9">
      <w:pPr>
        <w:pStyle w:val="ListParagraph"/>
        <w:ind w:left="0"/>
      </w:pPr>
      <w:r>
        <w:t xml:space="preserve">Because of its relatively low cost, widespread availability, versatility, and hallmark longevity, </w:t>
      </w:r>
      <w:r w:rsidR="00B55EC9">
        <w:t>concrete</w:t>
      </w:r>
      <w:r>
        <w:t xml:space="preserve"> is the most widely used</w:t>
      </w:r>
      <w:r w:rsidR="00E304D2">
        <w:t xml:space="preserve"> </w:t>
      </w:r>
      <w:r w:rsidR="00E304D2" w:rsidRPr="00E304D2">
        <w:rPr>
          <w:color w:val="FF0000"/>
        </w:rPr>
        <w:t>man-made</w:t>
      </w:r>
      <w:r>
        <w:t xml:space="preserve"> building material on the planet, with approximately 1 yd</w:t>
      </w:r>
      <w:r w:rsidRPr="00C5253B">
        <w:rPr>
          <w:vertAlign w:val="superscript"/>
        </w:rPr>
        <w:t>3</w:t>
      </w:r>
      <w:r>
        <w:t xml:space="preserve"> (4,000 lb) of concrete used annually for each of the Earth’s nearly 7 billion human inhabitants.  </w:t>
      </w:r>
      <w:r w:rsidR="00B55EC9">
        <w:t>concrete</w:t>
      </w:r>
      <w:r>
        <w:t xml:space="preserve"> is used in a variety of applications, including pavements, foundations, hydraulic structures, bridges, retaining walls, barriers, curb and gutter, and sidewalks.</w:t>
      </w:r>
    </w:p>
    <w:p w:rsidR="004774B9" w:rsidRDefault="004774B9" w:rsidP="004774B9">
      <w:pPr>
        <w:pStyle w:val="ListParagraph"/>
        <w:ind w:left="0"/>
      </w:pPr>
    </w:p>
    <w:p w:rsidR="004774B9" w:rsidRDefault="00B55EC9" w:rsidP="004774B9">
      <w:pPr>
        <w:pStyle w:val="Heading3"/>
      </w:pPr>
      <w:bookmarkStart w:id="98" w:name="_Toc295918638"/>
      <w:r>
        <w:t>Concrete</w:t>
      </w:r>
      <w:r w:rsidR="00266D9B">
        <w:t xml:space="preserve"> </w:t>
      </w:r>
      <w:r w:rsidR="004774B9" w:rsidRPr="000F1849">
        <w:t xml:space="preserve">Binder </w:t>
      </w:r>
      <w:r w:rsidR="004774B9">
        <w:t>T</w:t>
      </w:r>
      <w:r w:rsidR="004774B9" w:rsidRPr="000F1849">
        <w:t>ypes</w:t>
      </w:r>
      <w:bookmarkEnd w:id="98"/>
    </w:p>
    <w:p w:rsidR="004774B9" w:rsidRDefault="004774B9" w:rsidP="004774B9">
      <w:r>
        <w:t xml:space="preserve">The primary binder in </w:t>
      </w:r>
      <w:r w:rsidR="00B55EC9">
        <w:t>concrete</w:t>
      </w:r>
      <w:r>
        <w:t xml:space="preserve"> is portland cement, but other supplementary cementitious materials (SCMs) are also used including fly ash, slag cement, and natural pozzolans.  Further, a number of emerging binders are appearing on the market that have a reduced environmental footprint that have the potential, in time, to increase the overall sustainability of </w:t>
      </w:r>
      <w:r w:rsidR="00B55EC9">
        <w:t>concrete</w:t>
      </w:r>
      <w:r>
        <w:t xml:space="preserve"> structures.  </w:t>
      </w:r>
      <w:r w:rsidR="00F3038B">
        <w:t xml:space="preserve">Table </w:t>
      </w:r>
      <w:r w:rsidR="00A806A8">
        <w:t xml:space="preserve">3-14 </w:t>
      </w:r>
      <w:r>
        <w:t xml:space="preserve">summarizes the application of some of these cements.  Each type is described in more detail </w:t>
      </w:r>
      <w:r w:rsidR="00150E02">
        <w:t>in Table 3-1</w:t>
      </w:r>
      <w:r w:rsidR="00CC4DEE">
        <w:t>4</w:t>
      </w:r>
      <w:r>
        <w:t>.</w:t>
      </w:r>
    </w:p>
    <w:p w:rsidR="004774B9" w:rsidRPr="004774B9" w:rsidRDefault="004774B9" w:rsidP="00406E1B">
      <w:pPr>
        <w:pStyle w:val="Heading9"/>
        <w:rPr>
          <w:sz w:val="20"/>
        </w:rPr>
      </w:pPr>
      <w:bookmarkStart w:id="99" w:name="_Toc295918120"/>
      <w:r>
        <w:t>Table</w:t>
      </w:r>
      <w:r w:rsidR="00C11CBD">
        <w:t xml:space="preserve"> </w:t>
      </w:r>
      <w:bookmarkStart w:id="100" w:name="t13"/>
      <w:r w:rsidR="00F3038B">
        <w:t>3-</w:t>
      </w:r>
      <w:r w:rsidR="00C11CBD">
        <w:t>1</w:t>
      </w:r>
      <w:bookmarkEnd w:id="100"/>
      <w:r w:rsidR="00CC4DEE">
        <w:t>4</w:t>
      </w:r>
      <w:r>
        <w:t xml:space="preserve">.  </w:t>
      </w:r>
      <w:r w:rsidRPr="00A744CF">
        <w:t xml:space="preserve">Applications for hydraulic cements </w:t>
      </w:r>
      <w:hyperlink r:id="rId61" w:history="1">
        <w:r w:rsidRPr="002F6D82">
          <w:rPr>
            <w:rStyle w:val="Hyperlink"/>
            <w:rFonts w:cs="Arial"/>
          </w:rPr>
          <w:t>(</w:t>
        </w:r>
        <w:r w:rsidR="007578AC">
          <w:rPr>
            <w:rStyle w:val="Hyperlink"/>
            <w:rFonts w:cs="Arial"/>
          </w:rPr>
          <w:t>Kosmatka and Wilson 201</w:t>
        </w:r>
        <w:r w:rsidR="00543865" w:rsidRPr="002F6D82">
          <w:rPr>
            <w:rStyle w:val="Hyperlink"/>
            <w:rFonts w:cs="Arial"/>
          </w:rPr>
          <w:t>1</w:t>
        </w:r>
        <w:r w:rsidRPr="002F6D82">
          <w:rPr>
            <w:rStyle w:val="Hyperlink"/>
            <w:rFonts w:cs="Arial"/>
          </w:rPr>
          <w:t>).</w:t>
        </w:r>
        <w:bookmarkEnd w:id="99"/>
      </w:hyperlink>
    </w:p>
    <w:p w:rsidR="004774B9" w:rsidRDefault="008578D2" w:rsidP="004774B9">
      <w:pPr>
        <w:adjustRightInd w:val="0"/>
        <w:rPr>
          <w:spacing w:val="-2"/>
        </w:rPr>
      </w:pPr>
      <w:r>
        <w:rPr>
          <w:rFonts w:ascii="Arial Narrow" w:hAnsi="Arial Narrow" w:cs="Arial"/>
          <w:noProof/>
          <w:color w:val="5F5F5F"/>
          <w:spacing w:val="-2"/>
          <w:sz w:val="18"/>
          <w:szCs w:val="18"/>
        </w:rPr>
        <mc:AlternateContent>
          <mc:Choice Requires="wps">
            <w:drawing>
              <wp:anchor distT="0" distB="0" distL="114300" distR="114300" simplePos="0" relativeHeight="251660288" behindDoc="0" locked="0" layoutInCell="1" allowOverlap="1">
                <wp:simplePos x="0" y="0"/>
                <wp:positionH relativeFrom="column">
                  <wp:posOffset>5642610</wp:posOffset>
                </wp:positionH>
                <wp:positionV relativeFrom="paragraph">
                  <wp:posOffset>1659890</wp:posOffset>
                </wp:positionV>
                <wp:extent cx="471805" cy="208915"/>
                <wp:effectExtent l="3810" t="2540" r="635" b="0"/>
                <wp:wrapNone/>
                <wp:docPr id="5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805" cy="208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E360A" w:rsidRPr="007A3BD3" w:rsidRDefault="000E360A">
                            <w:pPr>
                              <w:rPr>
                                <w:color w:val="5F5F5F"/>
                                <w:sz w:val="18"/>
                                <w:szCs w:val="18"/>
                              </w:rPr>
                            </w:pPr>
                            <w:r w:rsidRPr="007A3BD3">
                              <w:rPr>
                                <w:color w:val="5F5F5F"/>
                                <w:sz w:val="18"/>
                                <w:szCs w:val="18"/>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 o:spid="_x0000_s1026" type="#_x0000_t202" style="position:absolute;margin-left:444.3pt;margin-top:130.7pt;width:37.15pt;height:16.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Q1NtQIAALk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" filled="f" stroked="f">
                <v:textbox>
                  <w:txbxContent>
                    <w:p w:rsidR="000E360A" w:rsidRPr="007A3BD3" w:rsidRDefault="000E360A">
                      <w:pPr>
                        <w:rPr>
                          <w:color w:val="5F5F5F"/>
                          <w:sz w:val="18"/>
                          <w:szCs w:val="18"/>
                        </w:rPr>
                      </w:pPr>
                      <w:r w:rsidRPr="007A3BD3">
                        <w:rPr>
                          <w:color w:val="5F5F5F"/>
                          <w:sz w:val="18"/>
                          <w:szCs w:val="18"/>
                        </w:rPr>
                        <w:t>***</w:t>
                      </w:r>
                    </w:p>
                  </w:txbxContent>
                </v:textbox>
              </v:shape>
            </w:pict>
          </mc:Fallback>
        </mc:AlternateContent>
      </w:r>
      <w:r w:rsidR="00406E1B">
        <w:rPr>
          <w:noProof/>
          <w:spacing w:val="-2"/>
        </w:rPr>
        <w:drawing>
          <wp:inline distT="0" distB="0" distL="0" distR="0">
            <wp:extent cx="5945332" cy="2346043"/>
            <wp:effectExtent l="19050" t="0" r="0" b="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srcRect t="5134"/>
                    <a:stretch>
                      <a:fillRect/>
                    </a:stretch>
                  </pic:blipFill>
                  <pic:spPr bwMode="auto">
                    <a:xfrm>
                      <a:off x="0" y="0"/>
                      <a:ext cx="5945332" cy="2346043"/>
                    </a:xfrm>
                    <a:prstGeom prst="rect">
                      <a:avLst/>
                    </a:prstGeom>
                    <a:noFill/>
                    <a:ln w="9525">
                      <a:noFill/>
                      <a:miter lim="800000"/>
                      <a:headEnd/>
                      <a:tailEnd/>
                    </a:ln>
                  </pic:spPr>
                </pic:pic>
              </a:graphicData>
            </a:graphic>
          </wp:inline>
        </w:drawing>
      </w:r>
    </w:p>
    <w:p w:rsidR="006F33A8" w:rsidRDefault="007001C4" w:rsidP="004774B9">
      <w:pPr>
        <w:adjustRightInd w:val="0"/>
        <w:rPr>
          <w:rFonts w:ascii="Arial Narrow" w:hAnsi="Arial Narrow" w:cs="Arial"/>
          <w:color w:val="5F5F5F"/>
          <w:sz w:val="18"/>
          <w:szCs w:val="18"/>
        </w:rPr>
      </w:pPr>
      <w:r w:rsidRPr="007A3BD3">
        <w:rPr>
          <w:rFonts w:ascii="Arial Narrow" w:hAnsi="Arial Narrow" w:cs="Arial"/>
          <w:color w:val="5F5F5F"/>
          <w:spacing w:val="-2"/>
          <w:sz w:val="18"/>
          <w:szCs w:val="18"/>
        </w:rPr>
        <w:t>*</w:t>
      </w:r>
      <w:r w:rsidR="00081BE6">
        <w:rPr>
          <w:rFonts w:ascii="Arial Narrow" w:hAnsi="Arial Narrow" w:cs="Arial"/>
          <w:color w:val="5F5F5F"/>
          <w:spacing w:val="-2"/>
          <w:sz w:val="18"/>
          <w:szCs w:val="18"/>
        </w:rPr>
        <w:t xml:space="preserve"> </w:t>
      </w:r>
      <w:r w:rsidRPr="007A3BD3">
        <w:rPr>
          <w:rFonts w:ascii="Arial Narrow" w:hAnsi="Arial Narrow" w:cs="Arial"/>
          <w:color w:val="5F5F5F"/>
          <w:spacing w:val="-2"/>
          <w:sz w:val="18"/>
          <w:szCs w:val="18"/>
        </w:rPr>
        <w:t>*</w:t>
      </w:r>
      <w:r w:rsidR="00081BE6">
        <w:rPr>
          <w:rFonts w:ascii="Arial Narrow" w:hAnsi="Arial Narrow" w:cs="Arial"/>
          <w:color w:val="5F5F5F"/>
          <w:spacing w:val="-2"/>
          <w:sz w:val="18"/>
          <w:szCs w:val="18"/>
        </w:rPr>
        <w:t xml:space="preserve"> </w:t>
      </w:r>
      <w:r w:rsidRPr="007A3BD3">
        <w:rPr>
          <w:rFonts w:ascii="Arial Narrow" w:hAnsi="Arial Narrow" w:cs="Arial"/>
          <w:color w:val="5F5F5F"/>
          <w:spacing w:val="-2"/>
          <w:sz w:val="18"/>
          <w:szCs w:val="18"/>
        </w:rPr>
        <w:t>*The option for low reactivity with ASR-susceptible</w:t>
      </w:r>
      <w:r w:rsidR="007A3BD3">
        <w:rPr>
          <w:rFonts w:ascii="Arial Narrow" w:hAnsi="Arial Narrow" w:cs="Arial"/>
          <w:color w:val="5F5F5F"/>
          <w:spacing w:val="-2"/>
          <w:sz w:val="18"/>
          <w:szCs w:val="18"/>
        </w:rPr>
        <w:t xml:space="preserve"> </w:t>
      </w:r>
      <w:r w:rsidRPr="007A3BD3">
        <w:rPr>
          <w:rFonts w:ascii="Arial Narrow" w:hAnsi="Arial Narrow" w:cs="Arial"/>
          <w:color w:val="5F5F5F"/>
          <w:sz w:val="18"/>
          <w:szCs w:val="18"/>
        </w:rPr>
        <w:t>ASR resistant in accordance with ASTM C227 mortar bar maximum expansion limits of 0.020% at 14 days and 0.060% at 56 days.</w:t>
      </w:r>
    </w:p>
    <w:p w:rsidR="007A3BD3" w:rsidRDefault="007A3BD3" w:rsidP="004774B9">
      <w:pPr>
        <w:adjustRightInd w:val="0"/>
        <w:rPr>
          <w:rFonts w:ascii="Arial Narrow" w:hAnsi="Arial Narrow" w:cs="Arial"/>
          <w:color w:val="5F5F5F"/>
          <w:sz w:val="18"/>
          <w:szCs w:val="18"/>
        </w:rPr>
      </w:pPr>
    </w:p>
    <w:p w:rsidR="007A3BD3" w:rsidRPr="007A3BD3" w:rsidRDefault="007A3BD3" w:rsidP="004774B9">
      <w:pPr>
        <w:adjustRightInd w:val="0"/>
        <w:rPr>
          <w:rFonts w:ascii="Arial Narrow" w:hAnsi="Arial Narrow" w:cs="Arial"/>
          <w:color w:val="5F5F5F"/>
          <w:spacing w:val="-2"/>
          <w:sz w:val="18"/>
          <w:szCs w:val="18"/>
        </w:rPr>
      </w:pPr>
    </w:p>
    <w:p w:rsidR="004774B9" w:rsidRDefault="004774B9" w:rsidP="004774B9">
      <w:pPr>
        <w:pStyle w:val="Heading4"/>
      </w:pPr>
      <w:bookmarkStart w:id="101" w:name="_Toc295918639"/>
      <w:r>
        <w:t xml:space="preserve">Portland </w:t>
      </w:r>
      <w:r w:rsidR="00266D9B">
        <w:t>C</w:t>
      </w:r>
      <w:r>
        <w:t>ement</w:t>
      </w:r>
      <w:bookmarkEnd w:id="101"/>
    </w:p>
    <w:p w:rsidR="004774B9" w:rsidRPr="006D0FD6" w:rsidRDefault="004774B9" w:rsidP="004774B9">
      <w:r w:rsidRPr="0054269C">
        <w:t>Th</w:t>
      </w:r>
      <w:r>
        <w:t xml:space="preserve">e cement used in </w:t>
      </w:r>
      <w:r w:rsidR="00B55EC9">
        <w:t>concrete</w:t>
      </w:r>
      <w:r w:rsidRPr="0054269C">
        <w:t xml:space="preserve"> is traditionally portland cement as specified under ASTM C150 or AASHTO M</w:t>
      </w:r>
      <w:r w:rsidR="007F750A">
        <w:t xml:space="preserve"> </w:t>
      </w:r>
      <w:r w:rsidRPr="0054269C">
        <w:t>85.  These two specifications have differed in years past, but recent stakeholder efforts resulted in the publication of harmonized standards in 2009 (Tennis and Melander 2010).</w:t>
      </w:r>
      <w:r>
        <w:t xml:space="preserve">  Portland cement is manufactured by pyroprocessing sources of calcium (typically limestone, although seashells and chalk are also used), silicon, aluminum, and iron (often from clays or shales, but various other raw material sources can</w:t>
      </w:r>
      <w:r w:rsidR="008D3A4C">
        <w:t xml:space="preserve"> </w:t>
      </w:r>
      <w:r w:rsidR="008D3A4C" w:rsidRPr="008D3A4C">
        <w:rPr>
          <w:color w:val="FF0000"/>
        </w:rPr>
        <w:t>be</w:t>
      </w:r>
      <w:r>
        <w:t xml:space="preserve"> blended to create the required proportions) in a rotary kiln at temperatures in excess of 2</w:t>
      </w:r>
      <w:r w:rsidR="00E304D2">
        <w:t>,</w:t>
      </w:r>
      <w:r>
        <w:t>700</w:t>
      </w:r>
      <w:r w:rsidR="00537366">
        <w:t xml:space="preserve"> </w:t>
      </w:r>
      <w:r>
        <w:rPr>
          <w:vertAlign w:val="superscript"/>
        </w:rPr>
        <w:t>o</w:t>
      </w:r>
      <w:r>
        <w:t xml:space="preserve">F.  Under these conditions, the raw materials are chemically altered forming hard nodules called “clinker” that are composed of four principal chemical phases: tricalcium silicate, dicalcium silicate, tricalcium aluminate, and tetracalcium aluminoferrite.  The clinker is finely ground with calcium sulfate (added to control setting) to create the grey powder known as portland cement.  A thorough description of the manufacturing, chemistry, and hydration of portland cement can be found in </w:t>
      </w:r>
      <w:r w:rsidR="006F6E9A">
        <w:t xml:space="preserve">Kosmatka, Kerkhoff, and Panarese </w:t>
      </w:r>
      <w:r>
        <w:t>(2002).  A modern dry-process cement manufacturing process is illustrated in</w:t>
      </w:r>
      <w:r w:rsidR="00AA7638">
        <w:t xml:space="preserve"> Figure 3-16</w:t>
      </w:r>
      <w:r>
        <w:t>.</w:t>
      </w:r>
    </w:p>
    <w:p w:rsidR="004774B9" w:rsidRDefault="004774B9" w:rsidP="004774B9"/>
    <w:p w:rsidR="004774B9" w:rsidRDefault="004774B9" w:rsidP="004774B9">
      <w:r>
        <w:t>Under AASHTO M</w:t>
      </w:r>
      <w:r w:rsidR="007F750A">
        <w:t xml:space="preserve"> </w:t>
      </w:r>
      <w:r>
        <w:t>85, portland cement is designated as follows:</w:t>
      </w:r>
    </w:p>
    <w:p w:rsidR="004774B9" w:rsidRDefault="004774B9" w:rsidP="004774B9"/>
    <w:p w:rsidR="004774B9" w:rsidRDefault="004774B9" w:rsidP="005B140A">
      <w:pPr>
        <w:pStyle w:val="ListParagraph"/>
        <w:numPr>
          <w:ilvl w:val="0"/>
          <w:numId w:val="9"/>
        </w:numPr>
        <w:adjustRightInd w:val="0"/>
        <w:ind w:left="720"/>
      </w:pPr>
      <w:r>
        <w:t>Type I – Normal, general purpose cement</w:t>
      </w:r>
      <w:r w:rsidR="00DF35C4">
        <w:t>.</w:t>
      </w:r>
    </w:p>
    <w:p w:rsidR="004774B9" w:rsidRDefault="004774B9" w:rsidP="005B140A">
      <w:pPr>
        <w:pStyle w:val="ListParagraph"/>
        <w:numPr>
          <w:ilvl w:val="0"/>
          <w:numId w:val="9"/>
        </w:numPr>
        <w:adjustRightInd w:val="0"/>
        <w:ind w:left="720"/>
      </w:pPr>
      <w:r>
        <w:t>Type IA – No</w:t>
      </w:r>
      <w:r w:rsidR="00E5705B">
        <w:t>r</w:t>
      </w:r>
      <w:r>
        <w:t>mal, general purpose air-entraining cement</w:t>
      </w:r>
      <w:r w:rsidR="00DF35C4">
        <w:t>.</w:t>
      </w:r>
    </w:p>
    <w:p w:rsidR="004774B9" w:rsidRDefault="004774B9" w:rsidP="005B140A">
      <w:pPr>
        <w:pStyle w:val="ListParagraph"/>
        <w:numPr>
          <w:ilvl w:val="0"/>
          <w:numId w:val="9"/>
        </w:numPr>
        <w:adjustRightInd w:val="0"/>
        <w:ind w:left="720"/>
      </w:pPr>
      <w:r>
        <w:t>Type II – Moderate sulfate resistance</w:t>
      </w:r>
      <w:r w:rsidR="00DF35C4">
        <w:t>.</w:t>
      </w:r>
    </w:p>
    <w:p w:rsidR="004774B9" w:rsidRDefault="004774B9" w:rsidP="005B140A">
      <w:pPr>
        <w:pStyle w:val="ListParagraph"/>
        <w:numPr>
          <w:ilvl w:val="0"/>
          <w:numId w:val="9"/>
        </w:numPr>
        <w:adjustRightInd w:val="0"/>
        <w:ind w:left="720"/>
      </w:pPr>
      <w:r>
        <w:t>Type IIA- Moderate sulfate resistance, air-entraining</w:t>
      </w:r>
      <w:r w:rsidR="00DF35C4">
        <w:t>.</w:t>
      </w:r>
    </w:p>
    <w:p w:rsidR="004774B9" w:rsidRDefault="004774B9" w:rsidP="005B140A">
      <w:pPr>
        <w:pStyle w:val="ListParagraph"/>
        <w:numPr>
          <w:ilvl w:val="0"/>
          <w:numId w:val="9"/>
        </w:numPr>
        <w:adjustRightInd w:val="0"/>
        <w:ind w:left="720"/>
      </w:pPr>
      <w:r>
        <w:t>Type III – High early strength</w:t>
      </w:r>
      <w:r w:rsidR="00DF35C4">
        <w:t>.</w:t>
      </w:r>
    </w:p>
    <w:p w:rsidR="004774B9" w:rsidRDefault="004774B9" w:rsidP="005B140A">
      <w:pPr>
        <w:pStyle w:val="ListParagraph"/>
        <w:numPr>
          <w:ilvl w:val="0"/>
          <w:numId w:val="9"/>
        </w:numPr>
        <w:adjustRightInd w:val="0"/>
        <w:ind w:left="720"/>
      </w:pPr>
      <w:r>
        <w:t>Type IIIA – High early strength, air-entraining</w:t>
      </w:r>
      <w:r w:rsidR="00DF35C4">
        <w:t>.</w:t>
      </w:r>
    </w:p>
    <w:p w:rsidR="004774B9" w:rsidRDefault="004774B9" w:rsidP="005B140A">
      <w:pPr>
        <w:pStyle w:val="ListParagraph"/>
        <w:numPr>
          <w:ilvl w:val="0"/>
          <w:numId w:val="9"/>
        </w:numPr>
        <w:adjustRightInd w:val="0"/>
        <w:ind w:left="720"/>
      </w:pPr>
      <w:r>
        <w:t>Type IV – Low heat of hydration (no longer available)</w:t>
      </w:r>
      <w:r w:rsidR="00DF35C4">
        <w:t>.</w:t>
      </w:r>
    </w:p>
    <w:p w:rsidR="002D59F3" w:rsidRDefault="004774B9" w:rsidP="005B140A">
      <w:pPr>
        <w:pStyle w:val="ListParagraph"/>
        <w:numPr>
          <w:ilvl w:val="0"/>
          <w:numId w:val="9"/>
        </w:numPr>
        <w:adjustRightInd w:val="0"/>
        <w:ind w:left="720"/>
      </w:pPr>
      <w:r>
        <w:t>Type V – High sulfate resistance</w:t>
      </w:r>
    </w:p>
    <w:p w:rsidR="002D59F3" w:rsidRDefault="002D59F3" w:rsidP="002D59F3"/>
    <w:p w:rsidR="00E5705B" w:rsidRDefault="002D59F3" w:rsidP="00AB6D6C">
      <w:pPr>
        <w:sectPr w:rsidR="00E5705B" w:rsidSect="00983B36">
          <w:headerReference w:type="default" r:id="rId63"/>
          <w:footerReference w:type="default" r:id="rId64"/>
          <w:pgSz w:w="12240" w:h="15840" w:code="1"/>
          <w:pgMar w:top="1152" w:right="1440" w:bottom="1008" w:left="1440" w:header="720" w:footer="720" w:gutter="0"/>
          <w:paperSrc w:first="7" w:other="7"/>
          <w:cols w:space="720"/>
          <w:docGrid w:linePitch="326"/>
        </w:sectPr>
      </w:pPr>
      <w:r>
        <w:t>As implied, each type of cement is formulated for a specific application.  As will be discussed later, air-entraining is used to protect the concrete against damage from cyclic freezing and thawing in a saturated state whereas concrete placed in a sulfate environment (most commonly from sulfate in soils) should be made with the appropriate cement.</w:t>
      </w:r>
    </w:p>
    <w:p w:rsidR="004774B9" w:rsidRDefault="004774B9" w:rsidP="00E5705B">
      <w:pPr>
        <w:adjustRightInd w:val="0"/>
      </w:pPr>
    </w:p>
    <w:p w:rsidR="00E5705B" w:rsidRDefault="008578D2" w:rsidP="00E5705B">
      <w:pPr>
        <w:adjustRightInd w:val="0"/>
        <w:jc w:val="center"/>
      </w:pPr>
      <w:r>
        <w:rPr>
          <w:noProof/>
        </w:rPr>
        <mc:AlternateContent>
          <mc:Choice Requires="wps">
            <w:drawing>
              <wp:anchor distT="0" distB="0" distL="114300" distR="114300" simplePos="0" relativeHeight="251662336" behindDoc="0" locked="0" layoutInCell="1" allowOverlap="1">
                <wp:simplePos x="0" y="0"/>
                <wp:positionH relativeFrom="column">
                  <wp:posOffset>1950085</wp:posOffset>
                </wp:positionH>
                <wp:positionV relativeFrom="paragraph">
                  <wp:posOffset>4717415</wp:posOffset>
                </wp:positionV>
                <wp:extent cx="4119880" cy="572770"/>
                <wp:effectExtent l="0" t="2540" r="0" b="0"/>
                <wp:wrapNone/>
                <wp:docPr id="49"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9880" cy="5727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26" style="position:absolute;margin-left:153.55pt;margin-top:371.45pt;width:324.4pt;height:45.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" stroked="f"/>
            </w:pict>
          </mc:Fallback>
        </mc:AlternateContent>
      </w:r>
      <w:r w:rsidR="00E5705B" w:rsidRPr="00E5705B">
        <w:rPr>
          <w:noProof/>
        </w:rPr>
        <w:drawing>
          <wp:inline distT="0" distB="0" distL="0" distR="0">
            <wp:extent cx="8001000" cy="5277833"/>
            <wp:effectExtent l="19050" t="0" r="0" b="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srcRect b="49985"/>
                    <a:stretch>
                      <a:fillRect/>
                    </a:stretch>
                  </pic:blipFill>
                  <pic:spPr bwMode="auto">
                    <a:xfrm>
                      <a:off x="0" y="0"/>
                      <a:ext cx="8001000" cy="5277833"/>
                    </a:xfrm>
                    <a:prstGeom prst="rect">
                      <a:avLst/>
                    </a:prstGeom>
                    <a:noFill/>
                    <a:ln w="9525">
                      <a:noFill/>
                      <a:miter lim="800000"/>
                      <a:headEnd/>
                      <a:tailEnd/>
                    </a:ln>
                  </pic:spPr>
                </pic:pic>
              </a:graphicData>
            </a:graphic>
          </wp:inline>
        </w:drawing>
      </w:r>
    </w:p>
    <w:p w:rsidR="005A5C85" w:rsidRDefault="005A5C85" w:rsidP="00E5705B">
      <w:pPr>
        <w:adjustRightInd w:val="0"/>
        <w:jc w:val="center"/>
      </w:pPr>
    </w:p>
    <w:p w:rsidR="005A5C85" w:rsidRDefault="005A5C85" w:rsidP="006B4484">
      <w:pPr>
        <w:pStyle w:val="APTechFigureCaption"/>
      </w:pPr>
      <w:bookmarkStart w:id="102" w:name="f20"/>
      <w:r>
        <w:t>Figure 3-</w:t>
      </w:r>
      <w:bookmarkEnd w:id="102"/>
      <w:r w:rsidR="004C5C42">
        <w:t>1</w:t>
      </w:r>
      <w:r w:rsidR="00CC4DEE">
        <w:t>6</w:t>
      </w:r>
      <w:r>
        <w:t>.  Manufacturing proc</w:t>
      </w:r>
      <w:r w:rsidR="006B4484">
        <w:t>e</w:t>
      </w:r>
      <w:r>
        <w:t>ss for portland cement (</w:t>
      </w:r>
      <w:hyperlink r:id="rId66" w:history="1">
        <w:r w:rsidR="00012B49" w:rsidRPr="00012B49">
          <w:rPr>
            <w:rStyle w:val="Hyperlink"/>
          </w:rPr>
          <w:t>Kosmatka and Wilson 2011</w:t>
        </w:r>
      </w:hyperlink>
      <w:r>
        <w:t>).  Steps 1 and 2</w:t>
      </w:r>
    </w:p>
    <w:p w:rsidR="00E5705B" w:rsidRDefault="008578D2" w:rsidP="005A5C85">
      <w:pPr>
        <w:adjustRightInd w:val="0"/>
        <w:jc w:val="center"/>
      </w:pPr>
      <w:r>
        <w:rPr>
          <w:noProof/>
        </w:rPr>
        <mc:AlternateContent>
          <mc:Choice Requires="wps">
            <w:drawing>
              <wp:anchor distT="0" distB="0" distL="114300" distR="114300" simplePos="0" relativeHeight="251663360" behindDoc="0" locked="0" layoutInCell="1" allowOverlap="1">
                <wp:simplePos x="0" y="0"/>
                <wp:positionH relativeFrom="column">
                  <wp:posOffset>6132195</wp:posOffset>
                </wp:positionH>
                <wp:positionV relativeFrom="paragraph">
                  <wp:posOffset>-109220</wp:posOffset>
                </wp:positionV>
                <wp:extent cx="2471420" cy="572770"/>
                <wp:effectExtent l="0" t="0" r="0" b="3175"/>
                <wp:wrapNone/>
                <wp:docPr id="4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1420" cy="5727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26" style="position:absolute;margin-left:482.85pt;margin-top:-8.6pt;width:194.6pt;height:45.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" stroked="f"/>
            </w:pict>
          </mc:Fallback>
        </mc:AlternateContent>
      </w:r>
      <w:r w:rsidR="00E5705B" w:rsidRPr="00E5705B">
        <w:rPr>
          <w:noProof/>
        </w:rPr>
        <w:drawing>
          <wp:inline distT="0" distB="0" distL="0" distR="0">
            <wp:extent cx="7955280" cy="5585954"/>
            <wp:effectExtent l="19050" t="0" r="7620" b="0"/>
            <wp:docPr id="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srcRect t="46653"/>
                    <a:stretch>
                      <a:fillRect/>
                    </a:stretch>
                  </pic:blipFill>
                  <pic:spPr bwMode="auto">
                    <a:xfrm>
                      <a:off x="0" y="0"/>
                      <a:ext cx="7955280" cy="5585954"/>
                    </a:xfrm>
                    <a:prstGeom prst="rect">
                      <a:avLst/>
                    </a:prstGeom>
                    <a:noFill/>
                    <a:ln w="9525">
                      <a:noFill/>
                      <a:miter lim="800000"/>
                      <a:headEnd/>
                      <a:tailEnd/>
                    </a:ln>
                  </pic:spPr>
                </pic:pic>
              </a:graphicData>
            </a:graphic>
          </wp:inline>
        </w:drawing>
      </w:r>
    </w:p>
    <w:p w:rsidR="005A5C85" w:rsidRDefault="005A5C85" w:rsidP="005A5C85">
      <w:pPr>
        <w:adjustRightInd w:val="0"/>
        <w:jc w:val="center"/>
      </w:pPr>
    </w:p>
    <w:p w:rsidR="00E5705B" w:rsidRDefault="005A5C85" w:rsidP="005A5C85">
      <w:pPr>
        <w:adjustRightInd w:val="0"/>
        <w:jc w:val="center"/>
      </w:pPr>
      <w:r>
        <w:t>Figure 3-</w:t>
      </w:r>
      <w:r w:rsidR="004C5C42">
        <w:t>1</w:t>
      </w:r>
      <w:r w:rsidR="00CC4DEE">
        <w:t>6</w:t>
      </w:r>
      <w:r>
        <w:t>.  Manufacturing process for portland cement (</w:t>
      </w:r>
      <w:hyperlink r:id="rId67" w:history="1">
        <w:r w:rsidRPr="00012B49">
          <w:rPr>
            <w:rStyle w:val="Hyperlink"/>
          </w:rPr>
          <w:t>Kosmatka and Wilson 2011</w:t>
        </w:r>
      </w:hyperlink>
      <w:r>
        <w:t>).  Steps 3 and 4</w:t>
      </w:r>
    </w:p>
    <w:p w:rsidR="00E5705B" w:rsidRDefault="00E5705B" w:rsidP="00E5705B">
      <w:pPr>
        <w:sectPr w:rsidR="00E5705B" w:rsidSect="00E5705B">
          <w:headerReference w:type="default" r:id="rId68"/>
          <w:footerReference w:type="default" r:id="rId69"/>
          <w:pgSz w:w="15840" w:h="12240" w:orient="landscape" w:code="1"/>
          <w:pgMar w:top="1440" w:right="1152" w:bottom="1440" w:left="1008" w:header="720" w:footer="720" w:gutter="0"/>
          <w:paperSrc w:first="7" w:other="7"/>
          <w:cols w:space="720"/>
          <w:docGrid w:linePitch="326"/>
        </w:sectPr>
      </w:pPr>
    </w:p>
    <w:p w:rsidR="00AB6D6C" w:rsidRDefault="00AB6D6C" w:rsidP="00AB6D6C">
      <w:r>
        <w:t>It is well known that the pyroprocessing and calcination of limestone (converting calcium carbonate into calcium oxide) that occurs in the manufacturing of portland cement releases a significant amount of carbon dioxide into the atmosphere.  In the most recent nationally published statistics, it is estimated that on average the manufacturing of one ton of cement in the U.S. releases 0.927 tons of carbon dioxide to the atmosphere.  As a result, considerable efforts are underway to reduce the overall carbon-footprint of concrete structures, with most attention focused on reducing the amount of clinker ultimately used in concrete.</w:t>
      </w:r>
    </w:p>
    <w:p w:rsidR="00AB6D6C" w:rsidRDefault="00AB6D6C" w:rsidP="00AB6D6C"/>
    <w:p w:rsidR="00AB6D6C" w:rsidRDefault="00AB6D6C" w:rsidP="00AB6D6C">
      <w:bookmarkStart w:id="103" w:name="_Toc295918640"/>
      <w:r>
        <w:t>To this end, strategies are being employed to dilute the clinker with other inert or reactive constituents to not only reduce the carbon footprint of the cement, but also enhance cement performance of the concrete.  Some type of “grinding aids” have always been used in small quantities to assist in the grinding process, but recent modifications to AASHTO M 85 have allowed up to 5 percent high-quality natural limestone to be interground with the clinker.  It was commonly believed that the limestone would remain inert, but research suggests that most, if not all, of the limestone will chemically react in a generally positive fashion, reducing porosity and increasing strength (Mataschei, Lothenbach, and Glasser 2007).  Unquestionably such additions have a significant environmental benefit as the replacement of clinker with limestone (or any other material) directly reduces the CO</w:t>
      </w:r>
      <w:r>
        <w:rPr>
          <w:vertAlign w:val="subscript"/>
        </w:rPr>
        <w:t>2</w:t>
      </w:r>
      <w:r>
        <w:t xml:space="preserve"> associated with the cement.</w:t>
      </w:r>
    </w:p>
    <w:p w:rsidR="00AB6D6C" w:rsidRDefault="00AB6D6C" w:rsidP="00AB6D6C">
      <w:pPr>
        <w:pStyle w:val="Heading4"/>
      </w:pPr>
    </w:p>
    <w:p w:rsidR="00AB6D6C" w:rsidRDefault="00AB6D6C" w:rsidP="00AB6D6C">
      <w:pPr>
        <w:pStyle w:val="Heading4"/>
      </w:pPr>
      <w:r>
        <w:t>Blended Portland Cement</w:t>
      </w:r>
      <w:bookmarkEnd w:id="103"/>
    </w:p>
    <w:p w:rsidR="00AB6D6C" w:rsidRDefault="00AB6D6C" w:rsidP="00AB6D6C">
      <w:r>
        <w:t>When cement manufacturers intergrind or blend portland cement with fly ash or natural pozzolans or slag cement, or when they create a ternary combination of SCMs, the blended cement is specified under AASHTO M</w:t>
      </w:r>
      <w:r w:rsidR="007F750A">
        <w:t xml:space="preserve"> </w:t>
      </w:r>
      <w:r>
        <w:t xml:space="preserve">240 (ASTM C595), </w:t>
      </w:r>
      <w:r w:rsidRPr="002845A3">
        <w:rPr>
          <w:i/>
        </w:rPr>
        <w:t>Standard Specification for Blended Hydraulic Cements</w:t>
      </w:r>
      <w:r>
        <w:t>.  These materials are designated as follows:</w:t>
      </w:r>
    </w:p>
    <w:p w:rsidR="00AB6D6C" w:rsidRDefault="00AB6D6C" w:rsidP="00AB6D6C"/>
    <w:p w:rsidR="00AB6D6C" w:rsidRDefault="00AB6D6C" w:rsidP="00AB6D6C">
      <w:pPr>
        <w:numPr>
          <w:ilvl w:val="0"/>
          <w:numId w:val="10"/>
        </w:numPr>
        <w:tabs>
          <w:tab w:val="clear" w:pos="2160"/>
          <w:tab w:val="num" w:pos="720"/>
        </w:tabs>
        <w:ind w:left="720"/>
      </w:pPr>
      <w:r>
        <w:t>Type IP(X) to indicate a portland-pozzolan (P) cement in which “X” denotes the targeted percent of pozzolan expressed as a whole number by mass of the final blended cement.  Thus, Type IP(15) is cement that contains 15 percent pozzolan.</w:t>
      </w:r>
    </w:p>
    <w:p w:rsidR="00AB6D6C" w:rsidRDefault="00AB6D6C" w:rsidP="00AB6D6C">
      <w:pPr>
        <w:numPr>
          <w:ilvl w:val="0"/>
          <w:numId w:val="10"/>
        </w:numPr>
        <w:tabs>
          <w:tab w:val="clear" w:pos="2160"/>
          <w:tab w:val="num" w:pos="720"/>
        </w:tabs>
        <w:ind w:left="720"/>
      </w:pPr>
      <w:r>
        <w:t>Type IS(X) to indicate a portland-slag (S) cement in which “X” denotes the targeted percent of slag cement expressed as a whole number by mass of the final blended cement.  Thus, Type IS(25) is cement that contains 25 percent slag cement..</w:t>
      </w:r>
    </w:p>
    <w:p w:rsidR="00AB6D6C" w:rsidRDefault="00AB6D6C" w:rsidP="00AB6D6C">
      <w:pPr>
        <w:numPr>
          <w:ilvl w:val="0"/>
          <w:numId w:val="10"/>
        </w:numPr>
        <w:tabs>
          <w:tab w:val="clear" w:pos="2160"/>
          <w:tab w:val="num" w:pos="720"/>
        </w:tabs>
        <w:ind w:left="720"/>
      </w:pPr>
      <w:r>
        <w:t>Type IT(AX)(BY) to indicate ternary (T) blended cement in which the “A” refers to the type of SCM (either “P” for pozzolan or “S” for slag cement) that is present in the larger amount by mass and the “B” refers to the SCM (again, either “P” for pozzolan or “S” for slag cement) that is present in the lesser amount.  The “X” and “Y” refer to targeted percentage of mass for constituent “A” and “B” respectively.  For example, a material designated as Type IT(S25)(P15) contains 60 percent portland cement, 25 percent slag cement, and 15 percent pozzolan.  If the percentages of the SCMs are the same, the pozzolan material is listed first, i.e., Type IT(P15)(S15).  Two different pozzolans can also be blended together to create a Type IT(PX)(PY).</w:t>
      </w:r>
    </w:p>
    <w:p w:rsidR="00AB6D6C" w:rsidRDefault="00AB6D6C" w:rsidP="00AB6D6C"/>
    <w:p w:rsidR="00AB6D6C" w:rsidRDefault="00AB6D6C" w:rsidP="00AB6D6C">
      <w:r>
        <w:t>Typical replacement rates for blended cements are 15 to 25 percent for Type IP and 30 to 50 percent for Type IS.  A Type IT might have 15 to 30 percent slag cement and 10 to 20 percent pozzolan, although these can vary significantly depending on the characteristics of the specific SCMs.</w:t>
      </w:r>
    </w:p>
    <w:p w:rsidR="00AB6D6C" w:rsidRDefault="00AB6D6C" w:rsidP="00AB6D6C"/>
    <w:p w:rsidR="004774B9" w:rsidRDefault="004774B9" w:rsidP="005E11F5">
      <w:r>
        <w:t>In addition to the above designations, blended cements can be further designated with the following suffixes:</w:t>
      </w:r>
    </w:p>
    <w:p w:rsidR="004774B9" w:rsidRDefault="004774B9" w:rsidP="005E11F5"/>
    <w:p w:rsidR="004774B9" w:rsidRDefault="004774B9" w:rsidP="005B140A">
      <w:pPr>
        <w:numPr>
          <w:ilvl w:val="0"/>
          <w:numId w:val="11"/>
        </w:numPr>
        <w:tabs>
          <w:tab w:val="clear" w:pos="2160"/>
          <w:tab w:val="num" w:pos="720"/>
        </w:tabs>
        <w:ind w:left="720"/>
      </w:pPr>
      <w:r>
        <w:t>“A” to indicate air-entrained material.</w:t>
      </w:r>
    </w:p>
    <w:p w:rsidR="004774B9" w:rsidRDefault="004774B9" w:rsidP="005B140A">
      <w:pPr>
        <w:numPr>
          <w:ilvl w:val="0"/>
          <w:numId w:val="11"/>
        </w:numPr>
        <w:tabs>
          <w:tab w:val="clear" w:pos="2160"/>
          <w:tab w:val="num" w:pos="720"/>
        </w:tabs>
        <w:ind w:left="720"/>
      </w:pPr>
      <w:r>
        <w:t>“MS” or “HS” to indicate moderate or high sulfate resistance.</w:t>
      </w:r>
    </w:p>
    <w:p w:rsidR="004774B9" w:rsidRDefault="004774B9" w:rsidP="005B140A">
      <w:pPr>
        <w:numPr>
          <w:ilvl w:val="0"/>
          <w:numId w:val="11"/>
        </w:numPr>
        <w:tabs>
          <w:tab w:val="clear" w:pos="2160"/>
          <w:tab w:val="num" w:pos="720"/>
        </w:tabs>
        <w:ind w:left="720"/>
      </w:pPr>
      <w:r>
        <w:t>“MH” or “LH” to indicate moderate or low heat of hydration.</w:t>
      </w:r>
    </w:p>
    <w:p w:rsidR="004774B9" w:rsidRDefault="004774B9" w:rsidP="005E11F5"/>
    <w:p w:rsidR="004774B9" w:rsidRDefault="004774B9" w:rsidP="005E11F5">
      <w:r>
        <w:t xml:space="preserve">Although it has been a more common practice to blend cement with SCMs at the concrete plant, when the SCMs are interground or blended by the cement supplier under </w:t>
      </w:r>
      <w:r w:rsidR="00C84744">
        <w:t>AASHTO M</w:t>
      </w:r>
      <w:r w:rsidR="007F750A">
        <w:t xml:space="preserve"> </w:t>
      </w:r>
      <w:r w:rsidR="00C84744">
        <w:t>240</w:t>
      </w:r>
      <w:r>
        <w:t>, there is a greater level of quality control over the final product with less potential for unforeseen interactions and incompatibilities (</w:t>
      </w:r>
      <w:hyperlink r:id="rId70" w:history="1">
        <w:r w:rsidRPr="00C34073">
          <w:rPr>
            <w:rStyle w:val="Hyperlink"/>
          </w:rPr>
          <w:t>Taylor et al. 2006</w:t>
        </w:r>
      </w:hyperlink>
      <w:r>
        <w:t xml:space="preserve">).  In addition, the use of </w:t>
      </w:r>
      <w:r w:rsidR="00C84744">
        <w:t>AASHTO M</w:t>
      </w:r>
      <w:r w:rsidR="007F750A">
        <w:t xml:space="preserve"> </w:t>
      </w:r>
      <w:r w:rsidR="00C84744">
        <w:t>240</w:t>
      </w:r>
      <w:r>
        <w:t xml:space="preserve"> blended cements helps avoid the potential for proportioning mistakes that can occur in the field.  However, this does limit the concrete supplier’s ability to adjust the SCM content in response to changing cond</w:t>
      </w:r>
      <w:r w:rsidR="00C84744">
        <w:t>itions (e.g., cooler weather).</w:t>
      </w:r>
    </w:p>
    <w:p w:rsidR="004774B9" w:rsidRDefault="004774B9" w:rsidP="004774B9">
      <w:pPr>
        <w:adjustRightInd w:val="0"/>
        <w:rPr>
          <w:spacing w:val="-2"/>
        </w:rPr>
      </w:pPr>
    </w:p>
    <w:p w:rsidR="004774B9" w:rsidRDefault="004774B9" w:rsidP="00C84744">
      <w:pPr>
        <w:pStyle w:val="Heading4"/>
      </w:pPr>
      <w:bookmarkStart w:id="104" w:name="_Toc295918641"/>
      <w:r>
        <w:t xml:space="preserve">Performance </w:t>
      </w:r>
      <w:r w:rsidR="00C84744">
        <w:t>C</w:t>
      </w:r>
      <w:r>
        <w:t>ement</w:t>
      </w:r>
      <w:bookmarkEnd w:id="104"/>
    </w:p>
    <w:p w:rsidR="004774B9" w:rsidRDefault="00C84744" w:rsidP="005E11F5">
      <w:pPr>
        <w:rPr>
          <w:rStyle w:val="body"/>
        </w:rPr>
      </w:pPr>
      <w:r>
        <w:rPr>
          <w:rStyle w:val="body"/>
        </w:rPr>
        <w:t xml:space="preserve">The AASHTO M </w:t>
      </w:r>
      <w:r w:rsidR="004774B9">
        <w:rPr>
          <w:rStyle w:val="body"/>
        </w:rPr>
        <w:t xml:space="preserve">85 and </w:t>
      </w:r>
      <w:r>
        <w:rPr>
          <w:rStyle w:val="body"/>
        </w:rPr>
        <w:t>AASHTO M</w:t>
      </w:r>
      <w:r w:rsidR="007F750A">
        <w:rPr>
          <w:rStyle w:val="body"/>
        </w:rPr>
        <w:t xml:space="preserve"> </w:t>
      </w:r>
      <w:r>
        <w:rPr>
          <w:rStyle w:val="body"/>
        </w:rPr>
        <w:t>240</w:t>
      </w:r>
      <w:r w:rsidR="004774B9">
        <w:rPr>
          <w:rStyle w:val="body"/>
        </w:rPr>
        <w:t xml:space="preserve"> </w:t>
      </w:r>
      <w:r w:rsidR="004774B9" w:rsidRPr="00CE4E3F">
        <w:rPr>
          <w:rStyle w:val="body"/>
        </w:rPr>
        <w:t xml:space="preserve">cement specifications </w:t>
      </w:r>
      <w:r w:rsidR="004774B9">
        <w:rPr>
          <w:rStyle w:val="body"/>
        </w:rPr>
        <w:t>discussed thus far are</w:t>
      </w:r>
      <w:r w:rsidR="004774B9" w:rsidRPr="00CE4E3F">
        <w:rPr>
          <w:rStyle w:val="body"/>
        </w:rPr>
        <w:t xml:space="preserve"> largely prescriptive; that is</w:t>
      </w:r>
      <w:r w:rsidR="004774B9">
        <w:rPr>
          <w:rStyle w:val="body"/>
        </w:rPr>
        <w:t>, they are based on</w:t>
      </w:r>
      <w:r w:rsidR="004774B9" w:rsidRPr="00CE4E3F">
        <w:rPr>
          <w:rStyle w:val="body"/>
        </w:rPr>
        <w:t xml:space="preserve"> measured chemical and physical </w:t>
      </w:r>
      <w:r w:rsidR="004774B9">
        <w:rPr>
          <w:rStyle w:val="body"/>
        </w:rPr>
        <w:t>properties of the cement that are assumed to be related to the</w:t>
      </w:r>
      <w:r w:rsidR="004774B9" w:rsidRPr="00CE4E3F">
        <w:rPr>
          <w:rStyle w:val="body"/>
        </w:rPr>
        <w:t xml:space="preserve"> performance of </w:t>
      </w:r>
      <w:r w:rsidR="004774B9">
        <w:rPr>
          <w:rStyle w:val="body"/>
        </w:rPr>
        <w:t>the cement</w:t>
      </w:r>
      <w:r w:rsidR="004774B9" w:rsidRPr="00CE4E3F">
        <w:rPr>
          <w:rStyle w:val="body"/>
        </w:rPr>
        <w:t xml:space="preserve"> in </w:t>
      </w:r>
      <w:r w:rsidR="00B55EC9">
        <w:rPr>
          <w:rStyle w:val="body"/>
        </w:rPr>
        <w:t>concrete</w:t>
      </w:r>
      <w:r w:rsidR="004774B9" w:rsidRPr="00CE4E3F">
        <w:rPr>
          <w:rStyle w:val="body"/>
        </w:rPr>
        <w:t xml:space="preserve">. </w:t>
      </w:r>
      <w:r>
        <w:rPr>
          <w:rStyle w:val="body"/>
        </w:rPr>
        <w:t xml:space="preserve"> </w:t>
      </w:r>
      <w:r w:rsidR="004774B9" w:rsidRPr="00CE4E3F">
        <w:rPr>
          <w:rStyle w:val="body"/>
        </w:rPr>
        <w:t>In</w:t>
      </w:r>
      <w:r w:rsidR="004774B9">
        <w:rPr>
          <w:rStyle w:val="body"/>
        </w:rPr>
        <w:t xml:space="preserve"> contrast,</w:t>
      </w:r>
      <w:r w:rsidR="004774B9" w:rsidRPr="00CE4E3F">
        <w:rPr>
          <w:rStyle w:val="body"/>
        </w:rPr>
        <w:t xml:space="preserve"> </w:t>
      </w:r>
      <w:r w:rsidR="004774B9" w:rsidRPr="00A22C7F">
        <w:t xml:space="preserve">ASTM </w:t>
      </w:r>
      <w:hyperlink r:id="rId71" w:history="1">
        <w:r w:rsidR="004774B9">
          <w:t>C</w:t>
        </w:r>
        <w:r w:rsidR="004774B9" w:rsidRPr="00A22C7F">
          <w:t>1157</w:t>
        </w:r>
      </w:hyperlink>
      <w:r w:rsidR="004774B9" w:rsidRPr="00CE4E3F">
        <w:rPr>
          <w:rStyle w:val="body"/>
        </w:rPr>
        <w:t xml:space="preserve">, </w:t>
      </w:r>
      <w:r w:rsidR="004774B9" w:rsidRPr="00A22C7F">
        <w:rPr>
          <w:rStyle w:val="body"/>
          <w:i/>
        </w:rPr>
        <w:t>Performance Specification for Hydraulic Cement</w:t>
      </w:r>
      <w:r w:rsidR="004774B9" w:rsidRPr="00CE4E3F">
        <w:rPr>
          <w:rStyle w:val="body"/>
        </w:rPr>
        <w:t xml:space="preserve">, </w:t>
      </w:r>
      <w:r w:rsidR="004774B9">
        <w:rPr>
          <w:rStyle w:val="body"/>
        </w:rPr>
        <w:t>simply requires that the hydraulic</w:t>
      </w:r>
      <w:r w:rsidR="00DB419A">
        <w:rPr>
          <w:rStyle w:val="body"/>
        </w:rPr>
        <w:t xml:space="preserve"> </w:t>
      </w:r>
      <w:r w:rsidR="004774B9">
        <w:rPr>
          <w:rStyle w:val="body"/>
        </w:rPr>
        <w:t>cement meets certain physical performance test requirements, thus focusing on material performance and not material composition.  This approach promotes</w:t>
      </w:r>
      <w:r w:rsidR="004774B9" w:rsidRPr="00CE4E3F">
        <w:rPr>
          <w:rStyle w:val="body"/>
        </w:rPr>
        <w:t xml:space="preserve"> innovative development of </w:t>
      </w:r>
      <w:r w:rsidR="004774B9">
        <w:rPr>
          <w:rStyle w:val="body"/>
        </w:rPr>
        <w:t>composite portland cements (portland cement blended with multiple SCMs and/or limestone) and also opens the door to non-portland cement hydraulic binders that have the potential to significantly reduce the CO</w:t>
      </w:r>
      <w:r w:rsidR="004774B9">
        <w:rPr>
          <w:rStyle w:val="body"/>
          <w:vertAlign w:val="subscript"/>
        </w:rPr>
        <w:t>2</w:t>
      </w:r>
      <w:r w:rsidR="004774B9">
        <w:rPr>
          <w:rStyle w:val="body"/>
        </w:rPr>
        <w:t xml:space="preserve"> associated with concrete production.  Six hydraulic cement types are available under ASTM C1157:</w:t>
      </w:r>
    </w:p>
    <w:p w:rsidR="004774B9" w:rsidRDefault="004774B9" w:rsidP="005E11F5">
      <w:pPr>
        <w:rPr>
          <w:rStyle w:val="body"/>
        </w:rPr>
      </w:pPr>
    </w:p>
    <w:p w:rsidR="004774B9" w:rsidRDefault="004774B9" w:rsidP="005B140A">
      <w:pPr>
        <w:numPr>
          <w:ilvl w:val="0"/>
          <w:numId w:val="12"/>
        </w:numPr>
        <w:tabs>
          <w:tab w:val="clear" w:pos="2160"/>
          <w:tab w:val="left" w:pos="720"/>
        </w:tabs>
        <w:ind w:left="720"/>
        <w:rPr>
          <w:rStyle w:val="body"/>
        </w:rPr>
      </w:pPr>
      <w:r>
        <w:rPr>
          <w:rStyle w:val="body"/>
        </w:rPr>
        <w:t xml:space="preserve">GU (general use). </w:t>
      </w:r>
    </w:p>
    <w:p w:rsidR="004774B9" w:rsidRDefault="004774B9" w:rsidP="005B140A">
      <w:pPr>
        <w:numPr>
          <w:ilvl w:val="0"/>
          <w:numId w:val="12"/>
        </w:numPr>
        <w:tabs>
          <w:tab w:val="clear" w:pos="2160"/>
          <w:tab w:val="left" w:pos="720"/>
        </w:tabs>
        <w:ind w:left="720"/>
        <w:rPr>
          <w:rStyle w:val="body"/>
        </w:rPr>
      </w:pPr>
      <w:r>
        <w:rPr>
          <w:rStyle w:val="body"/>
        </w:rPr>
        <w:t>LH (low heat of hydration).</w:t>
      </w:r>
    </w:p>
    <w:p w:rsidR="004774B9" w:rsidRDefault="004774B9" w:rsidP="005B140A">
      <w:pPr>
        <w:numPr>
          <w:ilvl w:val="0"/>
          <w:numId w:val="12"/>
        </w:numPr>
        <w:tabs>
          <w:tab w:val="clear" w:pos="2160"/>
          <w:tab w:val="left" w:pos="720"/>
        </w:tabs>
        <w:ind w:left="720"/>
        <w:rPr>
          <w:rStyle w:val="body"/>
        </w:rPr>
      </w:pPr>
      <w:r>
        <w:rPr>
          <w:rStyle w:val="body"/>
        </w:rPr>
        <w:t xml:space="preserve">MH (moderate heat of hydration). </w:t>
      </w:r>
    </w:p>
    <w:p w:rsidR="004774B9" w:rsidRDefault="004774B9" w:rsidP="005B140A">
      <w:pPr>
        <w:numPr>
          <w:ilvl w:val="0"/>
          <w:numId w:val="12"/>
        </w:numPr>
        <w:tabs>
          <w:tab w:val="clear" w:pos="2160"/>
          <w:tab w:val="left" w:pos="720"/>
        </w:tabs>
        <w:ind w:left="720"/>
        <w:rPr>
          <w:rStyle w:val="body"/>
        </w:rPr>
      </w:pPr>
      <w:r>
        <w:rPr>
          <w:rStyle w:val="body"/>
        </w:rPr>
        <w:t>HE (high early strength).</w:t>
      </w:r>
    </w:p>
    <w:p w:rsidR="004774B9" w:rsidRDefault="004774B9" w:rsidP="005B140A">
      <w:pPr>
        <w:numPr>
          <w:ilvl w:val="0"/>
          <w:numId w:val="12"/>
        </w:numPr>
        <w:tabs>
          <w:tab w:val="clear" w:pos="2160"/>
          <w:tab w:val="left" w:pos="720"/>
        </w:tabs>
        <w:ind w:left="720"/>
        <w:rPr>
          <w:rStyle w:val="body"/>
        </w:rPr>
      </w:pPr>
      <w:r>
        <w:rPr>
          <w:rStyle w:val="body"/>
        </w:rPr>
        <w:t>MS (moderate sulfate-resistance).</w:t>
      </w:r>
    </w:p>
    <w:p w:rsidR="004774B9" w:rsidRDefault="004774B9" w:rsidP="005B140A">
      <w:pPr>
        <w:numPr>
          <w:ilvl w:val="0"/>
          <w:numId w:val="12"/>
        </w:numPr>
        <w:tabs>
          <w:tab w:val="clear" w:pos="2160"/>
          <w:tab w:val="left" w:pos="720"/>
        </w:tabs>
        <w:ind w:left="720"/>
        <w:rPr>
          <w:rStyle w:val="body"/>
        </w:rPr>
      </w:pPr>
      <w:r>
        <w:rPr>
          <w:rStyle w:val="body"/>
        </w:rPr>
        <w:t xml:space="preserve">HS (high sulfate-resistance).  </w:t>
      </w:r>
    </w:p>
    <w:p w:rsidR="004774B9" w:rsidRDefault="004774B9" w:rsidP="005E11F5">
      <w:pPr>
        <w:rPr>
          <w:rStyle w:val="body"/>
        </w:rPr>
      </w:pPr>
    </w:p>
    <w:p w:rsidR="004774B9" w:rsidRDefault="004774B9" w:rsidP="005E11F5">
      <w:r>
        <w:t>The two major categories of ASTM C1157 cements currently being marketed in the U.S. are portland-limestone cements (PLC) and activated fly ash cements.  These are briefly described in the following sections, along with a short discussion on emerging cement technologies.</w:t>
      </w:r>
    </w:p>
    <w:p w:rsidR="004774B9" w:rsidRDefault="004774B9" w:rsidP="005E11F5"/>
    <w:p w:rsidR="004774B9" w:rsidRPr="00CC61A1" w:rsidRDefault="004774B9" w:rsidP="00C84744">
      <w:pPr>
        <w:pStyle w:val="Heading5"/>
      </w:pPr>
      <w:r w:rsidRPr="00CC61A1">
        <w:t>Portland-Limestone Cement (PLC)</w:t>
      </w:r>
    </w:p>
    <w:p w:rsidR="004774B9" w:rsidRDefault="004774B9" w:rsidP="00C84744">
      <w:pPr>
        <w:rPr>
          <w:rStyle w:val="body"/>
        </w:rPr>
      </w:pPr>
      <w:r>
        <w:t>PLC is manufactured by intergrinding portland cement clinker with limestone at percentages greater than the 5 percent currently allowed by AASHTO M</w:t>
      </w:r>
      <w:r w:rsidR="007F750A">
        <w:t xml:space="preserve"> </w:t>
      </w:r>
      <w:r>
        <w:t>85</w:t>
      </w:r>
      <w:r w:rsidR="007F750A">
        <w:t xml:space="preserve"> (ASTM C150</w:t>
      </w:r>
      <w:r>
        <w:t>).  PLC has been used in Europe for over 25 years, where the most popular type contains up to 20 percent limestone, and it has recently been approved for use in Canada (</w:t>
      </w:r>
      <w:hyperlink r:id="rId72" w:history="1">
        <w:r w:rsidRPr="00C34073">
          <w:rPr>
            <w:rStyle w:val="Hyperlink"/>
          </w:rPr>
          <w:t>CAC 2009</w:t>
        </w:r>
      </w:hyperlink>
      <w:r>
        <w:t>).  The Canadian PLC contains from 6 to 15 percent limestone and follows the same basic nomenclature as ASTM C1157 cements (GU-L, LH-L, MH-L, and HE-L) except there are currently no provisions for moderate or high sulfate resistance (MS or HS, respectively).  The 15 percent limit is in place to ensure the PLC performs similarly to conventional portland cement and blended cements.  At this replacement level, it is estimated that the use of CSA A30001 PLC reduces CO</w:t>
      </w:r>
      <w:r>
        <w:rPr>
          <w:vertAlign w:val="subscript"/>
        </w:rPr>
        <w:t>2</w:t>
      </w:r>
      <w:r>
        <w:t xml:space="preserve"> emissions by up to 10 percent compared to regular portland cement (</w:t>
      </w:r>
      <w:hyperlink r:id="rId73" w:history="1">
        <w:r w:rsidRPr="00C34073">
          <w:rPr>
            <w:rStyle w:val="Hyperlink"/>
          </w:rPr>
          <w:t>CAC 2009</w:t>
        </w:r>
      </w:hyperlink>
      <w:r>
        <w:t>).</w:t>
      </w:r>
    </w:p>
    <w:p w:rsidR="004774B9" w:rsidRDefault="004774B9" w:rsidP="00C84744">
      <w:pPr>
        <w:rPr>
          <w:rStyle w:val="body"/>
        </w:rPr>
      </w:pPr>
    </w:p>
    <w:p w:rsidR="004774B9" w:rsidRDefault="004774B9" w:rsidP="00C84744">
      <w:pPr>
        <w:rPr>
          <w:lang w:val="de-DE"/>
        </w:rPr>
      </w:pPr>
      <w:r>
        <w:t>Although the major motivation to use PLC is to reduce the CO</w:t>
      </w:r>
      <w:r>
        <w:rPr>
          <w:vertAlign w:val="subscript"/>
        </w:rPr>
        <w:t>2</w:t>
      </w:r>
      <w:r>
        <w:t xml:space="preserve"> emissions, there are a number of other advantages of PLC.  Because limestone is softer than clinker, when the two are interground the resulting limestone particles are finer than the clinker particles, resulting in improved particle distribution and packing.  The fine limestone particles also act as dispersed sites on which the formation of hydration products initiates, further densifying the microstructure as hydration proceeds.  And, as previously mentioned, the limestone is not chemically inert, but instead reacts with the aluminate phases in portland cement and many SCMs to create carboaluminate phases (</w:t>
      </w:r>
      <w:r w:rsidRPr="00420D8A">
        <w:rPr>
          <w:lang w:val="de-DE"/>
        </w:rPr>
        <w:t>Mat</w:t>
      </w:r>
      <w:r w:rsidR="001B319F">
        <w:rPr>
          <w:lang w:val="de-DE"/>
        </w:rPr>
        <w:t>a</w:t>
      </w:r>
      <w:r w:rsidRPr="00420D8A">
        <w:rPr>
          <w:lang w:val="de-DE"/>
        </w:rPr>
        <w:t>schei</w:t>
      </w:r>
      <w:r>
        <w:rPr>
          <w:lang w:val="de-DE"/>
        </w:rPr>
        <w:t>, Lothenbach, and Glasser 2007).  The net result is that cement manufacturers can optimize the chemical and physical properties of a PLC to achieve equivalent, or even improved, performance to that obtained using conventional  portland cement.  Several North American field studies have demonstrated that PLC can be used similarly to ASTM C150 and ASTM C595 cements in the construction of concrete pavements (Thomas et al. 2010; Van Dam, Smartz, and Laker 2010).</w:t>
      </w:r>
    </w:p>
    <w:p w:rsidR="00C41263" w:rsidRDefault="00C41263" w:rsidP="00C84744">
      <w:pPr>
        <w:rPr>
          <w:lang w:val="de-DE"/>
        </w:rPr>
      </w:pPr>
    </w:p>
    <w:p w:rsidR="004774B9" w:rsidRPr="00C84744" w:rsidRDefault="004774B9" w:rsidP="00C84744">
      <w:pPr>
        <w:pStyle w:val="Heading5"/>
        <w:rPr>
          <w:rStyle w:val="body"/>
          <w:rFonts w:cstheme="minorBidi"/>
        </w:rPr>
      </w:pPr>
      <w:r w:rsidRPr="00C84744">
        <w:rPr>
          <w:rStyle w:val="body"/>
          <w:rFonts w:cstheme="minorBidi"/>
        </w:rPr>
        <w:t>Activated Fly Ash</w:t>
      </w:r>
    </w:p>
    <w:p w:rsidR="004774B9" w:rsidRDefault="004774B9" w:rsidP="00C84744">
      <w:r>
        <w:t>Although PLCs are the most prevalent cement currently specified under ASTM C1157, a number of alternative hydraulic cements are also specifiable under the standard.  One such cementitious system is activated fly ash, which consists of a very high volume of Class C fly ash (in excess of 90 percent) in which the rate of hydration is controlled through activators and/or retarders.</w:t>
      </w:r>
      <w:r w:rsidR="00C41263">
        <w:t xml:space="preserve">  </w:t>
      </w:r>
      <w:r>
        <w:t>The primary cementing material is Class C fly ash, which is mineralogically and chemically characterized using proprietary means to ensure predicable product performance over a range of fly ash sources and placement temperatures (Hicks et al. 2009).  Stated strength gains are impressive, with compressive strengths of 3,000 lb/in</w:t>
      </w:r>
      <w:r w:rsidRPr="001B67CA">
        <w:rPr>
          <w:vertAlign w:val="superscript"/>
        </w:rPr>
        <w:t>2</w:t>
      </w:r>
      <w:r>
        <w:t xml:space="preserve"> at 6 hours and 10,000 lb/in</w:t>
      </w:r>
      <w:r w:rsidRPr="001B67CA">
        <w:rPr>
          <w:vertAlign w:val="superscript"/>
        </w:rPr>
        <w:t>2</w:t>
      </w:r>
      <w:r>
        <w:t xml:space="preserve"> at 28-days. </w:t>
      </w:r>
    </w:p>
    <w:p w:rsidR="004774B9" w:rsidRDefault="004774B9" w:rsidP="00C84744"/>
    <w:p w:rsidR="004774B9" w:rsidRPr="00CC61A1" w:rsidRDefault="004774B9" w:rsidP="00C84744">
      <w:pPr>
        <w:pStyle w:val="Heading5"/>
      </w:pPr>
      <w:r w:rsidRPr="00CC61A1">
        <w:t>Emerging Technologies</w:t>
      </w:r>
      <w:r w:rsidR="00266D9B">
        <w:t xml:space="preserve"> in Hydraulic Cements</w:t>
      </w:r>
    </w:p>
    <w:p w:rsidR="004774B9" w:rsidRDefault="004774B9" w:rsidP="00C84744">
      <w:pPr>
        <w:rPr>
          <w:spacing w:val="-2"/>
        </w:rPr>
      </w:pPr>
      <w:r>
        <w:t>In addition to PLC and activated fly ash, a number of other potential hydraulic cements exist or are emerging</w:t>
      </w:r>
      <w:r w:rsidR="0088747B">
        <w:t>.</w:t>
      </w:r>
      <w:r>
        <w:t xml:space="preserve">  Although limited information on the nature of these products is available, at a minimum the resulting carbonates may be suitable for use in PLC to further reduce the carbon footprint of the cement.  </w:t>
      </w:r>
    </w:p>
    <w:p w:rsidR="004774B9" w:rsidRDefault="004774B9" w:rsidP="004774B9">
      <w:pPr>
        <w:adjustRightInd w:val="0"/>
        <w:rPr>
          <w:spacing w:val="-2"/>
        </w:rPr>
      </w:pPr>
    </w:p>
    <w:p w:rsidR="004774B9" w:rsidRDefault="004774B9" w:rsidP="0063796C">
      <w:pPr>
        <w:pStyle w:val="Heading3"/>
      </w:pPr>
      <w:bookmarkStart w:id="105" w:name="_Toc295918642"/>
      <w:r>
        <w:t xml:space="preserve">Supplementary </w:t>
      </w:r>
      <w:r w:rsidR="0088747B">
        <w:t>C</w:t>
      </w:r>
      <w:r>
        <w:t xml:space="preserve">ementitious </w:t>
      </w:r>
      <w:r w:rsidR="0088747B">
        <w:t>M</w:t>
      </w:r>
      <w:r>
        <w:t>aterials (SCMs)</w:t>
      </w:r>
      <w:bookmarkEnd w:id="105"/>
    </w:p>
    <w:p w:rsidR="004774B9" w:rsidRDefault="004774B9" w:rsidP="005E11F5">
      <w:r>
        <w:t xml:space="preserve">SCMs cannot only reduce the carbon footprint of </w:t>
      </w:r>
      <w:r w:rsidR="00B55EC9">
        <w:t>concrete</w:t>
      </w:r>
      <w:r>
        <w:t>,</w:t>
      </w:r>
      <w:r w:rsidR="0088747B">
        <w:t xml:space="preserve"> </w:t>
      </w:r>
      <w:r>
        <w:t>they can also enhance durability and thus improve long-term performance.  There are many SCMs that are available with those most commonly used being fly ash, slag cement, silica fume, and natural pozzolans as described below.</w:t>
      </w:r>
    </w:p>
    <w:p w:rsidR="004774B9" w:rsidRDefault="004774B9" w:rsidP="004774B9">
      <w:pPr>
        <w:adjustRightInd w:val="0"/>
        <w:rPr>
          <w:spacing w:val="-2"/>
        </w:rPr>
      </w:pPr>
    </w:p>
    <w:p w:rsidR="004774B9" w:rsidRDefault="004774B9" w:rsidP="0063796C">
      <w:pPr>
        <w:pStyle w:val="Heading4"/>
      </w:pPr>
      <w:bookmarkStart w:id="106" w:name="_Toc295918643"/>
      <w:r>
        <w:t>Fly ash</w:t>
      </w:r>
      <w:bookmarkEnd w:id="106"/>
    </w:p>
    <w:p w:rsidR="004774B9" w:rsidRPr="00BF5B46" w:rsidRDefault="004774B9" w:rsidP="005E11F5">
      <w:r>
        <w:t xml:space="preserve">Fly ash is the byproduct of the burning of pulverized coal in power plants, being collected from the exhaust gases by electrostatic precipitators or bag filters.  It is most widely used SCM in concrete, resembling portland cement in appearance and particle size, but the particles are spherical in shape as shown in </w:t>
      </w:r>
      <w:r w:rsidR="00AA7638">
        <w:t xml:space="preserve">Figure 3-17. </w:t>
      </w:r>
      <w:r>
        <w:t xml:space="preserve"> The spherical nature of fly ash particles improves the workability of </w:t>
      </w:r>
      <w:r w:rsidR="00B55EC9">
        <w:t>concrete</w:t>
      </w:r>
      <w:r>
        <w:t>.</w:t>
      </w:r>
    </w:p>
    <w:p w:rsidR="004774B9" w:rsidRDefault="004774B9" w:rsidP="0088747B"/>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6"/>
        <w:gridCol w:w="4662"/>
      </w:tblGrid>
      <w:tr w:rsidR="004774B9" w:rsidTr="007B5F2E">
        <w:trPr>
          <w:jc w:val="center"/>
        </w:trPr>
        <w:tc>
          <w:tcPr>
            <w:tcW w:w="4506" w:type="dxa"/>
          </w:tcPr>
          <w:p w:rsidR="004774B9" w:rsidRDefault="004774B9" w:rsidP="007B5F2E">
            <w:pPr>
              <w:jc w:val="both"/>
            </w:pPr>
            <w:r>
              <w:rPr>
                <w:noProof/>
              </w:rPr>
              <w:drawing>
                <wp:inline distT="0" distB="0" distL="0" distR="0">
                  <wp:extent cx="2733675" cy="1781175"/>
                  <wp:effectExtent l="19050" t="0" r="9525"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srcRect/>
                          <a:stretch>
                            <a:fillRect/>
                          </a:stretch>
                        </pic:blipFill>
                        <pic:spPr bwMode="auto">
                          <a:xfrm>
                            <a:off x="0" y="0"/>
                            <a:ext cx="2737431" cy="1783622"/>
                          </a:xfrm>
                          <a:prstGeom prst="rect">
                            <a:avLst/>
                          </a:prstGeom>
                          <a:noFill/>
                          <a:ln w="9525">
                            <a:noFill/>
                            <a:miter lim="800000"/>
                            <a:headEnd/>
                            <a:tailEnd/>
                          </a:ln>
                        </pic:spPr>
                      </pic:pic>
                    </a:graphicData>
                  </a:graphic>
                </wp:inline>
              </w:drawing>
            </w:r>
          </w:p>
        </w:tc>
        <w:tc>
          <w:tcPr>
            <w:tcW w:w="4602" w:type="dxa"/>
          </w:tcPr>
          <w:p w:rsidR="004774B9" w:rsidRDefault="004774B9" w:rsidP="007B5F2E">
            <w:pPr>
              <w:jc w:val="both"/>
            </w:pPr>
            <w:r>
              <w:rPr>
                <w:noProof/>
              </w:rPr>
              <w:drawing>
                <wp:inline distT="0" distB="0" distL="0" distR="0">
                  <wp:extent cx="2804376" cy="1800225"/>
                  <wp:effectExtent l="19050" t="0" r="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srcRect/>
                          <a:stretch>
                            <a:fillRect/>
                          </a:stretch>
                        </pic:blipFill>
                        <pic:spPr bwMode="auto">
                          <a:xfrm>
                            <a:off x="0" y="0"/>
                            <a:ext cx="2804376" cy="1800225"/>
                          </a:xfrm>
                          <a:prstGeom prst="rect">
                            <a:avLst/>
                          </a:prstGeom>
                          <a:noFill/>
                          <a:ln w="9525">
                            <a:noFill/>
                            <a:miter lim="800000"/>
                            <a:headEnd/>
                            <a:tailEnd/>
                          </a:ln>
                        </pic:spPr>
                      </pic:pic>
                    </a:graphicData>
                  </a:graphic>
                </wp:inline>
              </w:drawing>
            </w:r>
          </w:p>
        </w:tc>
      </w:tr>
      <w:tr w:rsidR="0088747B" w:rsidTr="007B5F2E">
        <w:trPr>
          <w:jc w:val="center"/>
        </w:trPr>
        <w:tc>
          <w:tcPr>
            <w:tcW w:w="4506" w:type="dxa"/>
          </w:tcPr>
          <w:p w:rsidR="0088747B" w:rsidRDefault="0088747B" w:rsidP="0088747B">
            <w:pPr>
              <w:jc w:val="center"/>
              <w:rPr>
                <w:noProof/>
              </w:rPr>
            </w:pPr>
            <w:r>
              <w:rPr>
                <w:noProof/>
              </w:rPr>
              <w:t>(a)</w:t>
            </w:r>
          </w:p>
        </w:tc>
        <w:tc>
          <w:tcPr>
            <w:tcW w:w="4602" w:type="dxa"/>
          </w:tcPr>
          <w:p w:rsidR="0088747B" w:rsidRDefault="0088747B" w:rsidP="0088747B">
            <w:pPr>
              <w:jc w:val="center"/>
              <w:rPr>
                <w:noProof/>
              </w:rPr>
            </w:pPr>
            <w:r>
              <w:rPr>
                <w:noProof/>
              </w:rPr>
              <w:t>(b)</w:t>
            </w:r>
          </w:p>
        </w:tc>
      </w:tr>
    </w:tbl>
    <w:p w:rsidR="004774B9" w:rsidRPr="00E64DF9" w:rsidRDefault="0088747B" w:rsidP="004B4E81">
      <w:pPr>
        <w:pStyle w:val="APTechFigureCaption"/>
      </w:pPr>
      <w:bookmarkStart w:id="107" w:name="_Ref274921794"/>
      <w:bookmarkStart w:id="108" w:name="f21"/>
      <w:bookmarkStart w:id="109" w:name="_Toc295918045"/>
      <w:r>
        <w:t>Figure</w:t>
      </w:r>
      <w:bookmarkEnd w:id="107"/>
      <w:r w:rsidR="002918A7">
        <w:t xml:space="preserve"> </w:t>
      </w:r>
      <w:r w:rsidR="00F3038B">
        <w:t>3-</w:t>
      </w:r>
      <w:bookmarkEnd w:id="108"/>
      <w:r w:rsidR="004C5C42">
        <w:t>1</w:t>
      </w:r>
      <w:r w:rsidR="00CC4DEE">
        <w:t>7</w:t>
      </w:r>
      <w:r>
        <w:t xml:space="preserve">.  </w:t>
      </w:r>
      <w:r w:rsidR="004774B9">
        <w:t xml:space="preserve">Fly ash (a) </w:t>
      </w:r>
      <w:r w:rsidR="004774B9" w:rsidRPr="007B5F2E">
        <w:t>and</w:t>
      </w:r>
      <w:r w:rsidR="004774B9">
        <w:t xml:space="preserve"> a scanning electron micrograph of fly ash particles </w:t>
      </w:r>
      <w:r>
        <w:br/>
      </w:r>
      <w:r w:rsidR="004774B9">
        <w:t>(b)</w:t>
      </w:r>
      <w:r>
        <w:t xml:space="preserve"> </w:t>
      </w:r>
      <w:r w:rsidR="004774B9">
        <w:t xml:space="preserve">magnified 1000X (Kostmatka </w:t>
      </w:r>
      <w:r w:rsidR="009214D3">
        <w:t>and Wilson 2011</w:t>
      </w:r>
      <w:r w:rsidR="004774B9">
        <w:t>).</w:t>
      </w:r>
      <w:bookmarkEnd w:id="109"/>
    </w:p>
    <w:p w:rsidR="004774B9" w:rsidRDefault="004774B9" w:rsidP="004774B9">
      <w:pPr>
        <w:adjustRightInd w:val="0"/>
        <w:rPr>
          <w:spacing w:val="-2"/>
        </w:rPr>
      </w:pPr>
    </w:p>
    <w:p w:rsidR="004774B9" w:rsidRDefault="004774B9" w:rsidP="005E11F5">
      <w:r>
        <w:t xml:space="preserve">Fly ash is specified under AASHTO M 295 (ASTM C618), </w:t>
      </w:r>
      <w:r>
        <w:rPr>
          <w:i/>
        </w:rPr>
        <w:t>Standard Specification for Coal Fly Ash and Raw or Calcined Natural Pozzolans for Use in Concrete</w:t>
      </w:r>
      <w:r>
        <w:t xml:space="preserve">.  Two classes of fly ash are identified, with the main differentiator between the two being the silicon dioxide plus aluminum oxide, plus iron oxide content, which has to be greater than 70.0 percent for a fly ash to be classified as Class F.  As a result, Class F fly ash is often lower in calcium oxide (lime), typically being less than 15 percent compared to Class C fly ash.  This makes Class F fly ash more pozzolanic and Class C fly ash more cementitious. </w:t>
      </w:r>
      <w:r w:rsidR="007B5F2E">
        <w:t xml:space="preserve"> </w:t>
      </w:r>
      <w:r>
        <w:t>Class F fly ash often has higher carbon contents, and thus the loss on ignition (LOI) must be controlled to prevent incompatibilities with air-entraining admixtures.</w:t>
      </w:r>
    </w:p>
    <w:p w:rsidR="004774B9" w:rsidRDefault="004774B9" w:rsidP="005E11F5"/>
    <w:p w:rsidR="004774B9" w:rsidRDefault="004774B9" w:rsidP="005E11F5">
      <w:r>
        <w:t>Typical replace</w:t>
      </w:r>
      <w:r w:rsidR="007B5F2E">
        <w:t>men</w:t>
      </w:r>
      <w:r>
        <w:t>t rates for Class F fly ash is 10 to 20 percent whereas Class C fly ash is often added at a higher dosage of 15 to 35 percent replacement</w:t>
      </w:r>
      <w:r w:rsidR="005058BB">
        <w:t>.</w:t>
      </w:r>
      <w:r w:rsidR="00B21DE9">
        <w:t xml:space="preserve">  </w:t>
      </w:r>
      <w:r w:rsidR="00B21DE9" w:rsidRPr="00B21DE9">
        <w:rPr>
          <w:color w:val="FF0000"/>
        </w:rPr>
        <w:t>Testing is required to assure that the dosage rate is sufficient to mitigate ASR.</w:t>
      </w:r>
      <w:r w:rsidR="005058BB">
        <w:t xml:space="preserve">  This is primarily due to </w:t>
      </w:r>
      <w:r>
        <w:t>Class F fly</w:t>
      </w:r>
      <w:r w:rsidR="00853741">
        <w:t xml:space="preserve"> ash</w:t>
      </w:r>
      <w:r>
        <w:t xml:space="preserve"> </w:t>
      </w:r>
      <w:r w:rsidR="005058BB">
        <w:t xml:space="preserve">being more </w:t>
      </w:r>
      <w:r w:rsidR="00853741">
        <w:t>effective at</w:t>
      </w:r>
      <w:r w:rsidR="005058BB">
        <w:t xml:space="preserve"> mitigating ASR than Class C</w:t>
      </w:r>
      <w:r>
        <w:t>.  Both are effective at reducing the overall heat of hydration generated, although Class F fly ash is more effective than Class C fly ash in this regard.</w:t>
      </w:r>
    </w:p>
    <w:p w:rsidR="004774B9" w:rsidRDefault="004774B9" w:rsidP="005E11F5"/>
    <w:p w:rsidR="004774B9" w:rsidRDefault="004774B9" w:rsidP="005E11F5">
      <w:r>
        <w:t xml:space="preserve">As will be discussed, fly ash is often used to improve the durability of </w:t>
      </w:r>
      <w:r w:rsidR="00B55EC9">
        <w:t>concrete</w:t>
      </w:r>
      <w:r>
        <w:t>, with Class F fly ash being particularly adept at mitigating alkali-silica reactivity (ASR) and sulfate attack.  As the calcium oxide content increases, the ability for a Class C fly ash to effectively mitigate ASR and sulfate attack is diminished.  Further, because of its self cementing properties, Class C fly ash is more prone to harmful incompatibilities that re</w:t>
      </w:r>
      <w:r w:rsidR="00837A07">
        <w:t>sult in early or late setting.</w:t>
      </w:r>
    </w:p>
    <w:p w:rsidR="004774B9" w:rsidRDefault="004774B9" w:rsidP="005E11F5"/>
    <w:p w:rsidR="004774B9" w:rsidRDefault="004774B9" w:rsidP="005E11F5">
      <w:r>
        <w:t xml:space="preserve">Recently, the EPA has ruled that coal-fired power plants begin capturing mercury from the exhaust gases.  The most common technique being employed to do this feature the use of activated carbon, which can be collected from the exhaust gases along with the fly ash.  The co-mingling of the fly ash with activated carbon can have a very negative impact on the ability to entrain air in the </w:t>
      </w:r>
      <w:r w:rsidR="00B55EC9">
        <w:t>concrete</w:t>
      </w:r>
      <w:r>
        <w:t>, and thus such fly ash must be treated in some way to mitigate this problem.</w:t>
      </w:r>
    </w:p>
    <w:p w:rsidR="004774B9" w:rsidRDefault="004774B9" w:rsidP="005E11F5"/>
    <w:p w:rsidR="004774B9" w:rsidRDefault="004774B9" w:rsidP="0063796C">
      <w:pPr>
        <w:pStyle w:val="Heading4"/>
      </w:pPr>
      <w:bookmarkStart w:id="110" w:name="_Toc295918644"/>
      <w:r>
        <w:t xml:space="preserve">Slag </w:t>
      </w:r>
      <w:r w:rsidR="007B5F2E">
        <w:t>C</w:t>
      </w:r>
      <w:r>
        <w:t>ement</w:t>
      </w:r>
      <w:bookmarkEnd w:id="110"/>
    </w:p>
    <w:p w:rsidR="004774B9" w:rsidRDefault="004774B9" w:rsidP="005E11F5">
      <w:r>
        <w:t>Slag cement, also known as ground granulated blast furnace slag, is a byproduct of the smelting of iron ore in a blast furnace.  As the molten slag at a temperature above 2700</w:t>
      </w:r>
      <w:r>
        <w:rPr>
          <w:vertAlign w:val="superscript"/>
        </w:rPr>
        <w:t>o</w:t>
      </w:r>
      <w:r>
        <w:t>F is transported from blast furnace, it is processed through a granulator, which rapidly chills the material by quenching it in water, producing glassy, sand-like, granules which are subsequently ground to less than 45 microns.  The particles are thus similar in size and shape to portland cement.  This is shown in</w:t>
      </w:r>
      <w:r w:rsidR="00AA7638">
        <w:t xml:space="preserve"> Figure 3-18</w:t>
      </w:r>
      <w:r w:rsidR="007B5F2E">
        <w:t>.</w:t>
      </w:r>
    </w:p>
    <w:p w:rsidR="004774B9" w:rsidRDefault="004774B9" w:rsidP="007B5F2E"/>
    <w:tbl>
      <w:tblPr>
        <w:tblStyle w:val="TableGrid"/>
        <w:tblW w:w="0" w:type="auto"/>
        <w:jc w:val="center"/>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1"/>
        <w:gridCol w:w="4455"/>
      </w:tblGrid>
      <w:tr w:rsidR="004774B9" w:rsidTr="007B5F2E">
        <w:trPr>
          <w:jc w:val="center"/>
        </w:trPr>
        <w:tc>
          <w:tcPr>
            <w:tcW w:w="4401" w:type="dxa"/>
          </w:tcPr>
          <w:p w:rsidR="004774B9" w:rsidRDefault="004774B9" w:rsidP="005E11F5">
            <w:pPr>
              <w:adjustRightInd w:val="0"/>
              <w:rPr>
                <w:spacing w:val="-2"/>
              </w:rPr>
            </w:pPr>
            <w:r>
              <w:rPr>
                <w:noProof/>
                <w:spacing w:val="-2"/>
              </w:rPr>
              <w:drawing>
                <wp:inline distT="0" distB="0" distL="0" distR="0">
                  <wp:extent cx="2605311" cy="1838325"/>
                  <wp:effectExtent l="19050" t="0" r="4539" b="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srcRect/>
                          <a:stretch>
                            <a:fillRect/>
                          </a:stretch>
                        </pic:blipFill>
                        <pic:spPr bwMode="auto">
                          <a:xfrm>
                            <a:off x="0" y="0"/>
                            <a:ext cx="2605311" cy="1838325"/>
                          </a:xfrm>
                          <a:prstGeom prst="rect">
                            <a:avLst/>
                          </a:prstGeom>
                          <a:noFill/>
                          <a:ln w="9525">
                            <a:noFill/>
                            <a:miter lim="800000"/>
                            <a:headEnd/>
                            <a:tailEnd/>
                          </a:ln>
                        </pic:spPr>
                      </pic:pic>
                    </a:graphicData>
                  </a:graphic>
                </wp:inline>
              </w:drawing>
            </w:r>
          </w:p>
        </w:tc>
        <w:tc>
          <w:tcPr>
            <w:tcW w:w="4455" w:type="dxa"/>
          </w:tcPr>
          <w:p w:rsidR="004774B9" w:rsidRDefault="004774B9" w:rsidP="005E11F5">
            <w:pPr>
              <w:adjustRightInd w:val="0"/>
              <w:rPr>
                <w:spacing w:val="-2"/>
              </w:rPr>
            </w:pPr>
            <w:r>
              <w:rPr>
                <w:noProof/>
                <w:spacing w:val="-2"/>
              </w:rPr>
              <w:drawing>
                <wp:inline distT="0" distB="0" distL="0" distR="0">
                  <wp:extent cx="2647485" cy="1866900"/>
                  <wp:effectExtent l="19050" t="0" r="465" b="0"/>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srcRect/>
                          <a:stretch>
                            <a:fillRect/>
                          </a:stretch>
                        </pic:blipFill>
                        <pic:spPr bwMode="auto">
                          <a:xfrm>
                            <a:off x="0" y="0"/>
                            <a:ext cx="2647645" cy="1867013"/>
                          </a:xfrm>
                          <a:prstGeom prst="rect">
                            <a:avLst/>
                          </a:prstGeom>
                          <a:noFill/>
                          <a:ln w="9525">
                            <a:noFill/>
                            <a:miter lim="800000"/>
                            <a:headEnd/>
                            <a:tailEnd/>
                          </a:ln>
                        </pic:spPr>
                      </pic:pic>
                    </a:graphicData>
                  </a:graphic>
                </wp:inline>
              </w:drawing>
            </w:r>
          </w:p>
        </w:tc>
      </w:tr>
      <w:tr w:rsidR="007B5F2E" w:rsidTr="007B5F2E">
        <w:trPr>
          <w:jc w:val="center"/>
        </w:trPr>
        <w:tc>
          <w:tcPr>
            <w:tcW w:w="4401" w:type="dxa"/>
          </w:tcPr>
          <w:p w:rsidR="007B5F2E" w:rsidRDefault="007B5F2E" w:rsidP="007B5F2E">
            <w:pPr>
              <w:adjustRightInd w:val="0"/>
              <w:jc w:val="center"/>
              <w:rPr>
                <w:noProof/>
                <w:spacing w:val="-2"/>
              </w:rPr>
            </w:pPr>
            <w:r>
              <w:rPr>
                <w:noProof/>
                <w:spacing w:val="-2"/>
              </w:rPr>
              <w:t>(a)</w:t>
            </w:r>
          </w:p>
        </w:tc>
        <w:tc>
          <w:tcPr>
            <w:tcW w:w="4455" w:type="dxa"/>
          </w:tcPr>
          <w:p w:rsidR="007B5F2E" w:rsidRDefault="007B5F2E" w:rsidP="007B5F2E">
            <w:pPr>
              <w:adjustRightInd w:val="0"/>
              <w:jc w:val="center"/>
              <w:rPr>
                <w:noProof/>
                <w:spacing w:val="-2"/>
              </w:rPr>
            </w:pPr>
            <w:r>
              <w:rPr>
                <w:noProof/>
                <w:spacing w:val="-2"/>
              </w:rPr>
              <w:t>(b)</w:t>
            </w:r>
          </w:p>
        </w:tc>
      </w:tr>
    </w:tbl>
    <w:p w:rsidR="004774B9" w:rsidRPr="00627C80" w:rsidRDefault="007B5F2E" w:rsidP="004B4E81">
      <w:pPr>
        <w:pStyle w:val="APTechFigureCaption"/>
      </w:pPr>
      <w:bookmarkStart w:id="111" w:name="_Ref274922176"/>
      <w:bookmarkStart w:id="112" w:name="f22"/>
      <w:bookmarkStart w:id="113" w:name="_Toc295918046"/>
      <w:r>
        <w:t>Figure</w:t>
      </w:r>
      <w:bookmarkEnd w:id="111"/>
      <w:r w:rsidR="002918A7">
        <w:t xml:space="preserve"> </w:t>
      </w:r>
      <w:r w:rsidR="00F3038B">
        <w:t>3-</w:t>
      </w:r>
      <w:bookmarkEnd w:id="112"/>
      <w:r w:rsidR="001F63B3">
        <w:t>1</w:t>
      </w:r>
      <w:r w:rsidR="00CC4DEE">
        <w:t>8</w:t>
      </w:r>
      <w:r>
        <w:t xml:space="preserve">.  </w:t>
      </w:r>
      <w:r w:rsidR="004774B9">
        <w:t xml:space="preserve">Slag cement (a) and </w:t>
      </w:r>
      <w:r>
        <w:t xml:space="preserve">a </w:t>
      </w:r>
      <w:r w:rsidR="004774B9">
        <w:t xml:space="preserve">scanning electron micrograph of slag particles </w:t>
      </w:r>
      <w:r>
        <w:t xml:space="preserve">(b) </w:t>
      </w:r>
      <w:r w:rsidR="006F6E9A">
        <w:br/>
      </w:r>
      <w:r w:rsidR="004774B9">
        <w:t>magnified 2100X (</w:t>
      </w:r>
      <w:r w:rsidR="00936012">
        <w:t>Kostmatka and Wilson 2011</w:t>
      </w:r>
      <w:r w:rsidR="004774B9">
        <w:t>).</w:t>
      </w:r>
      <w:bookmarkEnd w:id="113"/>
    </w:p>
    <w:p w:rsidR="004774B9" w:rsidRDefault="004774B9" w:rsidP="004774B9">
      <w:pPr>
        <w:adjustRightInd w:val="0"/>
        <w:rPr>
          <w:spacing w:val="-2"/>
        </w:rPr>
      </w:pPr>
    </w:p>
    <w:p w:rsidR="000413D4" w:rsidRDefault="000413D4" w:rsidP="005E11F5"/>
    <w:p w:rsidR="000413D4" w:rsidRDefault="000413D4" w:rsidP="000413D4">
      <w:r>
        <w:t xml:space="preserve">Slag cement is specified under AASHTO M 302 (ASTM C989), </w:t>
      </w:r>
      <w:r>
        <w:rPr>
          <w:i/>
        </w:rPr>
        <w:t xml:space="preserve">Standard Specification for </w:t>
      </w:r>
      <w:r w:rsidR="00B21DE9">
        <w:rPr>
          <w:i/>
        </w:rPr>
        <w:t xml:space="preserve">Slag </w:t>
      </w:r>
      <w:r w:rsidR="00B21DE9" w:rsidRPr="00B21DE9">
        <w:rPr>
          <w:i/>
          <w:color w:val="FF0000"/>
        </w:rPr>
        <w:t>Cement for Use in Concrete and Mortars</w:t>
      </w:r>
      <w:r>
        <w:t>.  In the specification, three grades of slag cement are designated, Grade 80, Grade 100, and Grade 120, in order of increasing reactivity.  Most slag cement on the market today is Grade 120, and a surprising amount of granulated slag is imported into the U.S. market and then ground for domestic use.</w:t>
      </w:r>
    </w:p>
    <w:p w:rsidR="000413D4" w:rsidRDefault="000413D4" w:rsidP="005E11F5"/>
    <w:p w:rsidR="004774B9" w:rsidRDefault="004774B9" w:rsidP="005E11F5">
      <w:r>
        <w:t xml:space="preserve">Slag cement is a very effective SCM, typically being added to concrete at a replacement level of 25 to 50 percent, although mixes of 70 percent slag or more have been used.  </w:t>
      </w:r>
      <w:r w:rsidR="00E304D2">
        <w:t>C</w:t>
      </w:r>
      <w:r w:rsidR="00B55EC9">
        <w:t>oncrete</w:t>
      </w:r>
      <w:r>
        <w:t xml:space="preserve"> made with slag cement has low chloride permeability and good resistance to ASR and sulfate attack.  Slag cement also significantly lowers the heat of hydration making it exceptionally useful for large concrete placements.</w:t>
      </w:r>
    </w:p>
    <w:p w:rsidR="004774B9" w:rsidRDefault="004774B9" w:rsidP="005E11F5"/>
    <w:p w:rsidR="004774B9" w:rsidRPr="00522F2F" w:rsidRDefault="004774B9" w:rsidP="005E11F5">
      <w:r>
        <w:t>One downside is that slag cement does slow early strength gain, especially if the ambient temperatures drop below 60</w:t>
      </w:r>
      <w:r>
        <w:rPr>
          <w:vertAlign w:val="superscript"/>
        </w:rPr>
        <w:t>o</w:t>
      </w:r>
      <w:r>
        <w:t>F.  Concerns have also been express</w:t>
      </w:r>
      <w:r w:rsidR="003D5DBC">
        <w:t>ed</w:t>
      </w:r>
      <w:r>
        <w:t xml:space="preserve"> regarding scaling of </w:t>
      </w:r>
      <w:r w:rsidR="00B55EC9">
        <w:t>concrete</w:t>
      </w:r>
      <w:r>
        <w:t xml:space="preserve"> surfaces containing slag cement that were placed late in the construction season and did not have adequate time to cure prior to being subjected to freezing and thawing in the presence of deicers.  This problem has been almost exclusively isolated to hand-finished slabs and is not thought to be a problem for slipformed concrete.</w:t>
      </w:r>
    </w:p>
    <w:p w:rsidR="004774B9" w:rsidRDefault="004774B9" w:rsidP="005E11F5"/>
    <w:p w:rsidR="004774B9" w:rsidRDefault="004774B9" w:rsidP="0063796C">
      <w:pPr>
        <w:pStyle w:val="Heading4"/>
      </w:pPr>
      <w:bookmarkStart w:id="114" w:name="_Toc295918645"/>
      <w:r>
        <w:t xml:space="preserve">Silica </w:t>
      </w:r>
      <w:r w:rsidR="007B5F2E">
        <w:t>F</w:t>
      </w:r>
      <w:r>
        <w:t>ume</w:t>
      </w:r>
      <w:bookmarkEnd w:id="114"/>
    </w:p>
    <w:p w:rsidR="00C11CBD" w:rsidRDefault="004774B9" w:rsidP="005E11F5">
      <w:r>
        <w:t>Silica fume (also known as microsilica) is the byproduct of the reduction of high-purity quartz in an electric arc furnace in the high technology manufacturing of silicon and ferrosilicon alloy.  The temperature in this processing exceeds 3</w:t>
      </w:r>
      <w:r w:rsidR="00E304D2">
        <w:t>,</w:t>
      </w:r>
      <w:r>
        <w:t>600</w:t>
      </w:r>
      <w:r>
        <w:rPr>
          <w:vertAlign w:val="superscript"/>
        </w:rPr>
        <w:t>o</w:t>
      </w:r>
      <w:r>
        <w:t>F, with the silica fume condensing from an oxidized vapor and being collected in cloth bags.  Silica fume particles are exceedingly fine (average diameter is about 0.1 microns being finer than those in cigarette smoke) and spherical in shape, being composed of amorphous silica</w:t>
      </w:r>
      <w:r w:rsidR="007B5F2E">
        <w:t xml:space="preserve"> (see </w:t>
      </w:r>
      <w:r w:rsidR="00AA7638">
        <w:t>Figure 3-19)</w:t>
      </w:r>
      <w:r>
        <w:t>.  When shipped dry, it is densified which leads t</w:t>
      </w:r>
      <w:r w:rsidR="007B5F2E">
        <w:t>o agglomerations of particles</w:t>
      </w:r>
      <w:r>
        <w:t>.</w:t>
      </w:r>
    </w:p>
    <w:tbl>
      <w:tblPr>
        <w:tblStyle w:val="TableGrid"/>
        <w:tblW w:w="0" w:type="auto"/>
        <w:jc w:val="center"/>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8"/>
        <w:gridCol w:w="4558"/>
      </w:tblGrid>
      <w:tr w:rsidR="004774B9" w:rsidTr="007B5F2E">
        <w:trPr>
          <w:jc w:val="center"/>
        </w:trPr>
        <w:tc>
          <w:tcPr>
            <w:tcW w:w="4298" w:type="dxa"/>
          </w:tcPr>
          <w:p w:rsidR="004774B9" w:rsidRDefault="004774B9" w:rsidP="005E11F5">
            <w:pPr>
              <w:adjustRightInd w:val="0"/>
              <w:rPr>
                <w:spacing w:val="-2"/>
              </w:rPr>
            </w:pPr>
            <w:r>
              <w:rPr>
                <w:noProof/>
                <w:spacing w:val="-2"/>
              </w:rPr>
              <w:drawing>
                <wp:inline distT="0" distB="0" distL="0" distR="0">
                  <wp:extent cx="2546033" cy="1914525"/>
                  <wp:effectExtent l="19050" t="0" r="6667" b="0"/>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cstate="print"/>
                          <a:srcRect/>
                          <a:stretch>
                            <a:fillRect/>
                          </a:stretch>
                        </pic:blipFill>
                        <pic:spPr bwMode="auto">
                          <a:xfrm>
                            <a:off x="0" y="0"/>
                            <a:ext cx="2546033" cy="1914525"/>
                          </a:xfrm>
                          <a:prstGeom prst="rect">
                            <a:avLst/>
                          </a:prstGeom>
                          <a:noFill/>
                          <a:ln w="9525">
                            <a:noFill/>
                            <a:miter lim="800000"/>
                            <a:headEnd/>
                            <a:tailEnd/>
                          </a:ln>
                        </pic:spPr>
                      </pic:pic>
                    </a:graphicData>
                  </a:graphic>
                </wp:inline>
              </w:drawing>
            </w:r>
          </w:p>
        </w:tc>
        <w:tc>
          <w:tcPr>
            <w:tcW w:w="4558" w:type="dxa"/>
          </w:tcPr>
          <w:p w:rsidR="004774B9" w:rsidRDefault="004774B9" w:rsidP="005E11F5">
            <w:pPr>
              <w:adjustRightInd w:val="0"/>
              <w:rPr>
                <w:spacing w:val="-2"/>
              </w:rPr>
            </w:pPr>
            <w:r>
              <w:rPr>
                <w:noProof/>
                <w:spacing w:val="-2"/>
              </w:rPr>
              <w:drawing>
                <wp:inline distT="0" distB="0" distL="0" distR="0">
                  <wp:extent cx="2728531" cy="1924050"/>
                  <wp:effectExtent l="19050" t="0" r="0" b="0"/>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srcRect/>
                          <a:stretch>
                            <a:fillRect/>
                          </a:stretch>
                        </pic:blipFill>
                        <pic:spPr bwMode="auto">
                          <a:xfrm>
                            <a:off x="0" y="0"/>
                            <a:ext cx="2728531" cy="1924050"/>
                          </a:xfrm>
                          <a:prstGeom prst="rect">
                            <a:avLst/>
                          </a:prstGeom>
                          <a:noFill/>
                          <a:ln w="9525">
                            <a:noFill/>
                            <a:miter lim="800000"/>
                            <a:headEnd/>
                            <a:tailEnd/>
                          </a:ln>
                        </pic:spPr>
                      </pic:pic>
                    </a:graphicData>
                  </a:graphic>
                </wp:inline>
              </w:drawing>
            </w:r>
          </w:p>
        </w:tc>
      </w:tr>
      <w:tr w:rsidR="007B5F2E" w:rsidTr="007B5F2E">
        <w:trPr>
          <w:jc w:val="center"/>
        </w:trPr>
        <w:tc>
          <w:tcPr>
            <w:tcW w:w="4298" w:type="dxa"/>
          </w:tcPr>
          <w:p w:rsidR="007B5F2E" w:rsidRDefault="007B5F2E" w:rsidP="007B5F2E">
            <w:pPr>
              <w:adjustRightInd w:val="0"/>
              <w:jc w:val="center"/>
              <w:rPr>
                <w:noProof/>
                <w:spacing w:val="-2"/>
              </w:rPr>
            </w:pPr>
            <w:r>
              <w:rPr>
                <w:noProof/>
                <w:spacing w:val="-2"/>
              </w:rPr>
              <w:t>(a)</w:t>
            </w:r>
          </w:p>
        </w:tc>
        <w:tc>
          <w:tcPr>
            <w:tcW w:w="4558" w:type="dxa"/>
          </w:tcPr>
          <w:p w:rsidR="007B5F2E" w:rsidRDefault="007B5F2E" w:rsidP="007B5F2E">
            <w:pPr>
              <w:adjustRightInd w:val="0"/>
              <w:jc w:val="center"/>
              <w:rPr>
                <w:noProof/>
                <w:spacing w:val="-2"/>
              </w:rPr>
            </w:pPr>
            <w:r>
              <w:rPr>
                <w:noProof/>
                <w:spacing w:val="-2"/>
              </w:rPr>
              <w:t>(b)</w:t>
            </w:r>
          </w:p>
        </w:tc>
      </w:tr>
    </w:tbl>
    <w:p w:rsidR="004774B9" w:rsidRPr="00627C80" w:rsidRDefault="007B5F2E" w:rsidP="004B4E81">
      <w:pPr>
        <w:pStyle w:val="APTechFigureCaption"/>
      </w:pPr>
      <w:bookmarkStart w:id="115" w:name="_Ref274922655"/>
      <w:bookmarkStart w:id="116" w:name="f23"/>
      <w:bookmarkStart w:id="117" w:name="_Toc295918047"/>
      <w:r>
        <w:t>Figure</w:t>
      </w:r>
      <w:bookmarkEnd w:id="115"/>
      <w:r w:rsidR="00F3038B">
        <w:t xml:space="preserve"> 3-</w:t>
      </w:r>
      <w:bookmarkEnd w:id="116"/>
      <w:r w:rsidR="00CC4DEE">
        <w:t>19</w:t>
      </w:r>
      <w:r>
        <w:t xml:space="preserve">.  </w:t>
      </w:r>
      <w:r w:rsidR="004774B9">
        <w:t xml:space="preserve">Silica fume (a) and a scanning electron micrograph of silica fume </w:t>
      </w:r>
      <w:r>
        <w:t xml:space="preserve">(b) </w:t>
      </w:r>
      <w:r w:rsidR="006F6E9A">
        <w:br/>
      </w:r>
      <w:r w:rsidR="004774B9">
        <w:t>magnified 20,000X (</w:t>
      </w:r>
      <w:r w:rsidR="00936012">
        <w:t>Kostmatka and Wilson 2011</w:t>
      </w:r>
      <w:r w:rsidR="004774B9">
        <w:t>).</w:t>
      </w:r>
      <w:bookmarkEnd w:id="117"/>
    </w:p>
    <w:p w:rsidR="004774B9" w:rsidRDefault="004774B9" w:rsidP="005E11F5"/>
    <w:p w:rsidR="000413D4" w:rsidRPr="00347574" w:rsidRDefault="000413D4" w:rsidP="005E11F5"/>
    <w:p w:rsidR="004774B9" w:rsidRPr="00A6581C" w:rsidRDefault="004774B9" w:rsidP="005E11F5">
      <w:r>
        <w:t xml:space="preserve">Silica fume is specified under AASHTO M 307 (ASTM C1240), </w:t>
      </w:r>
      <w:r>
        <w:rPr>
          <w:i/>
        </w:rPr>
        <w:t>Standard Specification for Silica Fume Used in Cementitious Mixtures</w:t>
      </w:r>
      <w:r>
        <w:t xml:space="preserve">.  Its use is often reserved to concrete structures requiring high strength and/or low permeability such as bridge decks and other structural elements. </w:t>
      </w:r>
      <w:r w:rsidR="00CC2C97">
        <w:t xml:space="preserve"> </w:t>
      </w:r>
      <w:r w:rsidR="00184415">
        <w:t xml:space="preserve">Due </w:t>
      </w:r>
      <w:r w:rsidR="00CC2C97">
        <w:t xml:space="preserve">to the high cost of silica fume and the requirements for additional curing, it </w:t>
      </w:r>
      <w:r w:rsidR="00184415">
        <w:t>typically is</w:t>
      </w:r>
      <w:r w:rsidR="00CC2C97">
        <w:t xml:space="preserve"> not used in paving applications</w:t>
      </w:r>
      <w:r w:rsidR="00184415">
        <w:t>.</w:t>
      </w:r>
    </w:p>
    <w:p w:rsidR="004774B9" w:rsidRDefault="004774B9" w:rsidP="005E11F5"/>
    <w:p w:rsidR="004774B9" w:rsidRDefault="004774B9" w:rsidP="0063796C">
      <w:pPr>
        <w:pStyle w:val="Heading4"/>
      </w:pPr>
      <w:bookmarkStart w:id="118" w:name="_Toc295918646"/>
      <w:r>
        <w:t xml:space="preserve">Natural </w:t>
      </w:r>
      <w:r w:rsidR="00266D9B">
        <w:t>P</w:t>
      </w:r>
      <w:r>
        <w:t>ozzolans</w:t>
      </w:r>
      <w:bookmarkEnd w:id="118"/>
    </w:p>
    <w:p w:rsidR="004774B9" w:rsidRDefault="004774B9" w:rsidP="005E11F5">
      <w:r>
        <w:t>A number of natural pozzolans have been used in concrete for millennium</w:t>
      </w:r>
      <w:r w:rsidR="008D3A4C">
        <w:t>s</w:t>
      </w:r>
      <w:r>
        <w:t xml:space="preserve">, including those used to construct the Roman Pantheon and aqueducts.  The history of the use of natural pozzolans predates ancient Rome, likely going back to 2000 BC.  The term pozzolan was coined from the name of the town, Pozzuoli, from which volcanic ash from Mt. Vesuvius was mined by the Romans.  Although volcanic ash continues to be a great source of pozzolan in many countries, in the U.S. the most common natural pozzolans are processed materials that heat-treated in a kiln and ground including calcined clay, calcined shale, and metakaolin.  </w:t>
      </w:r>
      <w:r w:rsidR="00AA7638">
        <w:t>Figure 3-20</w:t>
      </w:r>
      <w:r w:rsidR="00F3038B">
        <w:t xml:space="preserve"> </w:t>
      </w:r>
      <w:r>
        <w:t>shows pictures of metakaolin and calcined clay.</w:t>
      </w:r>
    </w:p>
    <w:p w:rsidR="00FD4460" w:rsidRDefault="00FD4460" w:rsidP="005E11F5"/>
    <w:tbl>
      <w:tblPr>
        <w:tblStyle w:val="TableGrid"/>
        <w:tblW w:w="0" w:type="auto"/>
        <w:jc w:val="center"/>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446"/>
      </w:tblGrid>
      <w:tr w:rsidR="004774B9" w:rsidTr="00FD4460">
        <w:trPr>
          <w:jc w:val="center"/>
        </w:trPr>
        <w:tc>
          <w:tcPr>
            <w:tcW w:w="4472" w:type="dxa"/>
          </w:tcPr>
          <w:p w:rsidR="004774B9" w:rsidRDefault="004774B9" w:rsidP="005E11F5">
            <w:pPr>
              <w:adjustRightInd w:val="0"/>
              <w:rPr>
                <w:spacing w:val="-2"/>
              </w:rPr>
            </w:pPr>
            <w:r>
              <w:rPr>
                <w:noProof/>
                <w:spacing w:val="-2"/>
              </w:rPr>
              <w:drawing>
                <wp:inline distT="0" distB="0" distL="0" distR="0">
                  <wp:extent cx="2724150" cy="1733550"/>
                  <wp:effectExtent l="19050" t="0" r="0" b="0"/>
                  <wp:docPr id="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srcRect/>
                          <a:stretch>
                            <a:fillRect/>
                          </a:stretch>
                        </pic:blipFill>
                        <pic:spPr bwMode="auto">
                          <a:xfrm>
                            <a:off x="0" y="0"/>
                            <a:ext cx="2727304" cy="1735557"/>
                          </a:xfrm>
                          <a:prstGeom prst="rect">
                            <a:avLst/>
                          </a:prstGeom>
                          <a:noFill/>
                          <a:ln w="9525">
                            <a:noFill/>
                            <a:miter lim="800000"/>
                            <a:headEnd/>
                            <a:tailEnd/>
                          </a:ln>
                        </pic:spPr>
                      </pic:pic>
                    </a:graphicData>
                  </a:graphic>
                </wp:inline>
              </w:drawing>
            </w:r>
          </w:p>
        </w:tc>
        <w:tc>
          <w:tcPr>
            <w:tcW w:w="4384" w:type="dxa"/>
          </w:tcPr>
          <w:p w:rsidR="004774B9" w:rsidRDefault="004774B9" w:rsidP="005E11F5">
            <w:pPr>
              <w:adjustRightInd w:val="0"/>
              <w:rPr>
                <w:spacing w:val="-2"/>
              </w:rPr>
            </w:pPr>
            <w:r>
              <w:rPr>
                <w:noProof/>
                <w:spacing w:val="-2"/>
              </w:rPr>
              <w:drawing>
                <wp:inline distT="0" distB="0" distL="0" distR="0">
                  <wp:extent cx="2657475" cy="1769473"/>
                  <wp:effectExtent l="19050" t="0" r="9525" b="0"/>
                  <wp:docPr id="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cstate="print"/>
                          <a:srcRect/>
                          <a:stretch>
                            <a:fillRect/>
                          </a:stretch>
                        </pic:blipFill>
                        <pic:spPr bwMode="auto">
                          <a:xfrm>
                            <a:off x="0" y="0"/>
                            <a:ext cx="2665456" cy="1774787"/>
                          </a:xfrm>
                          <a:prstGeom prst="rect">
                            <a:avLst/>
                          </a:prstGeom>
                          <a:noFill/>
                          <a:ln w="9525">
                            <a:noFill/>
                            <a:miter lim="800000"/>
                            <a:headEnd/>
                            <a:tailEnd/>
                          </a:ln>
                        </pic:spPr>
                      </pic:pic>
                    </a:graphicData>
                  </a:graphic>
                </wp:inline>
              </w:drawing>
            </w:r>
          </w:p>
        </w:tc>
      </w:tr>
      <w:tr w:rsidR="00FD4460" w:rsidTr="00FD4460">
        <w:trPr>
          <w:jc w:val="center"/>
        </w:trPr>
        <w:tc>
          <w:tcPr>
            <w:tcW w:w="4472" w:type="dxa"/>
          </w:tcPr>
          <w:p w:rsidR="00FD4460" w:rsidRDefault="00FD4460" w:rsidP="00FD4460">
            <w:pPr>
              <w:adjustRightInd w:val="0"/>
              <w:jc w:val="center"/>
              <w:rPr>
                <w:noProof/>
                <w:spacing w:val="-2"/>
              </w:rPr>
            </w:pPr>
            <w:r>
              <w:rPr>
                <w:noProof/>
                <w:spacing w:val="-2"/>
              </w:rPr>
              <w:t>(a)</w:t>
            </w:r>
          </w:p>
        </w:tc>
        <w:tc>
          <w:tcPr>
            <w:tcW w:w="4384" w:type="dxa"/>
          </w:tcPr>
          <w:p w:rsidR="00FD4460" w:rsidRDefault="00FD4460" w:rsidP="00FD4460">
            <w:pPr>
              <w:adjustRightInd w:val="0"/>
              <w:jc w:val="center"/>
              <w:rPr>
                <w:noProof/>
                <w:spacing w:val="-2"/>
              </w:rPr>
            </w:pPr>
            <w:r>
              <w:rPr>
                <w:noProof/>
                <w:spacing w:val="-2"/>
              </w:rPr>
              <w:t>(b)</w:t>
            </w:r>
          </w:p>
        </w:tc>
      </w:tr>
    </w:tbl>
    <w:p w:rsidR="004774B9" w:rsidRPr="00627C80" w:rsidRDefault="00FD4460" w:rsidP="004B4E81">
      <w:pPr>
        <w:pStyle w:val="APTechFigureCaption"/>
      </w:pPr>
      <w:bookmarkStart w:id="119" w:name="_Ref274924151"/>
      <w:bookmarkStart w:id="120" w:name="f24"/>
      <w:bookmarkStart w:id="121" w:name="_Toc295918048"/>
      <w:r>
        <w:t>Figure</w:t>
      </w:r>
      <w:bookmarkEnd w:id="119"/>
      <w:r w:rsidR="002918A7">
        <w:t xml:space="preserve"> 3</w:t>
      </w:r>
      <w:r w:rsidR="00F3038B">
        <w:t>-</w:t>
      </w:r>
      <w:bookmarkEnd w:id="120"/>
      <w:r w:rsidR="00CC4DEE">
        <w:t>20</w:t>
      </w:r>
      <w:r>
        <w:t xml:space="preserve">.  </w:t>
      </w:r>
      <w:r w:rsidR="004774B9">
        <w:t>Metakaolin (a) and a scanning electron micrograph of calcined clay particles</w:t>
      </w:r>
      <w:r>
        <w:t xml:space="preserve"> </w:t>
      </w:r>
      <w:r w:rsidR="006F6E9A">
        <w:br/>
      </w:r>
      <w:r>
        <w:t>(b)</w:t>
      </w:r>
      <w:r w:rsidR="004774B9">
        <w:t xml:space="preserve"> magnified 2</w:t>
      </w:r>
      <w:r w:rsidR="00E304D2">
        <w:t>,</w:t>
      </w:r>
      <w:r w:rsidR="004774B9">
        <w:t>000X (</w:t>
      </w:r>
      <w:r w:rsidR="00936012">
        <w:t>Kostmatka and Wilson 2011</w:t>
      </w:r>
      <w:r w:rsidR="004774B9">
        <w:t>).</w:t>
      </w:r>
      <w:bookmarkEnd w:id="121"/>
    </w:p>
    <w:p w:rsidR="004774B9" w:rsidRDefault="004774B9" w:rsidP="005E11F5"/>
    <w:p w:rsidR="000413D4" w:rsidRDefault="000413D4" w:rsidP="000413D4">
      <w:r>
        <w:t xml:space="preserve">Natural pozzolans are specified under the same standard as fly ash, AASHTO M 295 (ASTM C618), </w:t>
      </w:r>
      <w:r>
        <w:rPr>
          <w:i/>
        </w:rPr>
        <w:t>Standard Specification for Coal Fly Ash and Raw or Calcined Natural Pozzolans for Use in Concrete</w:t>
      </w:r>
      <w:r>
        <w:t xml:space="preserve">.  Most natural pozzolans are similar in particle size and shape to that of portland cement, although the way they effect concrete properties </w:t>
      </w:r>
      <w:r w:rsidRPr="00167E98">
        <w:rPr>
          <w:color w:val="8064A2" w:themeColor="accent4"/>
        </w:rPr>
        <w:t>vari</w:t>
      </w:r>
      <w:r w:rsidR="00167E98">
        <w:rPr>
          <w:color w:val="8064A2" w:themeColor="accent4"/>
        </w:rPr>
        <w:t>es</w:t>
      </w:r>
      <w:r>
        <w:t xml:space="preserve"> widely.  In general, natural pozzolans are very effective at mitigating ASR and sulfate attack and reducing the heat of hydration.  Most will slow the rate of strength gain.  Metakaolin, which is gaining somewhat in popularity, acts very similarly to silica fume, significantly decreasing permeability and increasing strength, but at the same time increasing water demand and the occurrence of early-age shrinkage.</w:t>
      </w:r>
    </w:p>
    <w:p w:rsidR="000413D4" w:rsidRDefault="000413D4" w:rsidP="005E11F5"/>
    <w:p w:rsidR="004774B9" w:rsidRDefault="004774B9" w:rsidP="0063796C">
      <w:pPr>
        <w:pStyle w:val="Heading4"/>
      </w:pPr>
      <w:bookmarkStart w:id="122" w:name="_Toc295918647"/>
      <w:r>
        <w:t>Summary</w:t>
      </w:r>
      <w:bookmarkEnd w:id="122"/>
    </w:p>
    <w:p w:rsidR="004774B9" w:rsidRDefault="004774B9" w:rsidP="005E11F5">
      <w:r>
        <w:t xml:space="preserve">A number of SCMs are available that can be added to or used to replace portland cement in </w:t>
      </w:r>
      <w:r w:rsidR="00B55EC9">
        <w:t>concrete</w:t>
      </w:r>
      <w:r>
        <w:t xml:space="preserve">.  The most common is fly ash, with slag cement, silica fume, and natural pozzolans also being employed.  </w:t>
      </w:r>
      <w:r w:rsidR="00AA7638">
        <w:t xml:space="preserve">Figure 3-21 </w:t>
      </w:r>
      <w:r>
        <w:t>is a ternary diagram showing the composition of cement and various SCMs.  In this type of diagram, each corner of the triangle represents 100 percent of that compound.  For example, silica fume is almost 100 percent silica (SiO</w:t>
      </w:r>
      <w:r>
        <w:rPr>
          <w:vertAlign w:val="subscript"/>
        </w:rPr>
        <w:t>2</w:t>
      </w:r>
      <w:r>
        <w:t>) whereas metakaolin has slightly more silicon dioxide than aluminum oxide (Al</w:t>
      </w:r>
      <w:r>
        <w:rPr>
          <w:vertAlign w:val="subscript"/>
        </w:rPr>
        <w:t>2</w:t>
      </w:r>
      <w:r>
        <w:t>O</w:t>
      </w:r>
      <w:r>
        <w:rPr>
          <w:vertAlign w:val="subscript"/>
        </w:rPr>
        <w:t>3</w:t>
      </w:r>
      <w:r>
        <w:t>) and no calcium oxide (CaO).  From this figure you can see that cement is primarily calcium oxide and silica, with a little aluminum oxide.  What this figure indicates is that self cementing materials, such as cement, slag, and Class C fly ash, have a combination of calcium oxide, silica, and aluminum dioxide whereas pozzolanic materials such as silica fume, Class F fly ash, and metakaolin have little to no calcium oxide.</w:t>
      </w:r>
    </w:p>
    <w:p w:rsidR="004774B9" w:rsidRDefault="004774B9" w:rsidP="005E11F5"/>
    <w:p w:rsidR="005F2527" w:rsidRDefault="005F2527" w:rsidP="005F2527">
      <w:pPr>
        <w:adjustRightInd w:val="0"/>
        <w:jc w:val="center"/>
        <w:rPr>
          <w:spacing w:val="-2"/>
        </w:rPr>
      </w:pPr>
      <w:r>
        <w:rPr>
          <w:noProof/>
          <w:spacing w:val="-2"/>
        </w:rPr>
        <w:drawing>
          <wp:inline distT="0" distB="0" distL="0" distR="0">
            <wp:extent cx="4025596" cy="2823667"/>
            <wp:effectExtent l="19050" t="0" r="0" b="0"/>
            <wp:docPr id="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srcRect l="3324" t="2913" r="2356" b="3398"/>
                    <a:stretch>
                      <a:fillRect/>
                    </a:stretch>
                  </pic:blipFill>
                  <pic:spPr bwMode="auto">
                    <a:xfrm>
                      <a:off x="0" y="0"/>
                      <a:ext cx="4025596" cy="2823667"/>
                    </a:xfrm>
                    <a:prstGeom prst="rect">
                      <a:avLst/>
                    </a:prstGeom>
                    <a:noFill/>
                    <a:ln w="9525">
                      <a:noFill/>
                      <a:miter lim="800000"/>
                      <a:headEnd/>
                      <a:tailEnd/>
                    </a:ln>
                    <a:effectLst/>
                  </pic:spPr>
                </pic:pic>
              </a:graphicData>
            </a:graphic>
          </wp:inline>
        </w:drawing>
      </w:r>
    </w:p>
    <w:p w:rsidR="005F2527" w:rsidRPr="00AE2309" w:rsidRDefault="005F2527" w:rsidP="004B4E81">
      <w:pPr>
        <w:pStyle w:val="APTechFigureCaption"/>
      </w:pPr>
      <w:bookmarkStart w:id="123" w:name="_Ref274924264"/>
      <w:bookmarkStart w:id="124" w:name="f25"/>
      <w:bookmarkStart w:id="125" w:name="_Toc295918049"/>
      <w:r>
        <w:t>Figure</w:t>
      </w:r>
      <w:bookmarkEnd w:id="123"/>
      <w:r w:rsidR="002918A7">
        <w:t xml:space="preserve"> </w:t>
      </w:r>
      <w:r w:rsidR="00F3038B">
        <w:t>3-</w:t>
      </w:r>
      <w:bookmarkEnd w:id="124"/>
      <w:r w:rsidR="00CC4DEE">
        <w:t>21</w:t>
      </w:r>
      <w:r>
        <w:t xml:space="preserve">.  Ternary diagram illustrating the oxide composition of cement </w:t>
      </w:r>
      <w:r>
        <w:br/>
        <w:t>and common SCMs (</w:t>
      </w:r>
      <w:hyperlink r:id="rId83" w:history="1">
        <w:r w:rsidRPr="00C34073">
          <w:rPr>
            <w:rStyle w:val="Hyperlink"/>
            <w:spacing w:val="-2"/>
          </w:rPr>
          <w:t>Taylor et al. 2006</w:t>
        </w:r>
      </w:hyperlink>
      <w:r>
        <w:t>).</w:t>
      </w:r>
      <w:bookmarkEnd w:id="125"/>
    </w:p>
    <w:p w:rsidR="000413D4" w:rsidRDefault="000413D4" w:rsidP="005E11F5"/>
    <w:p w:rsidR="000413D4" w:rsidRDefault="000413D4" w:rsidP="005E11F5"/>
    <w:p w:rsidR="004774B9" w:rsidRDefault="00AA7638" w:rsidP="005E11F5">
      <w:r>
        <w:t>Figure 3-22</w:t>
      </w:r>
      <w:r w:rsidR="004774B9">
        <w:t>shows the particle size distribution of these same SCMs.  It can be seen that the most common SCMs (fly ash and slag cement) have a particle size distribution similar to cement whereas silica fume is significantly finer and metakaolin is finer.</w:t>
      </w:r>
    </w:p>
    <w:p w:rsidR="004774B9" w:rsidRDefault="004774B9" w:rsidP="005E11F5"/>
    <w:p w:rsidR="000413D4" w:rsidRPr="000D52EE" w:rsidRDefault="000413D4" w:rsidP="005E11F5"/>
    <w:p w:rsidR="004774B9" w:rsidRDefault="004774B9" w:rsidP="004774B9">
      <w:pPr>
        <w:adjustRightInd w:val="0"/>
        <w:jc w:val="center"/>
        <w:rPr>
          <w:spacing w:val="-2"/>
        </w:rPr>
      </w:pPr>
      <w:r w:rsidRPr="000D52EE">
        <w:rPr>
          <w:noProof/>
          <w:spacing w:val="-2"/>
        </w:rPr>
        <w:drawing>
          <wp:inline distT="0" distB="0" distL="0" distR="0">
            <wp:extent cx="4572000" cy="2828925"/>
            <wp:effectExtent l="19050" t="0" r="0" b="0"/>
            <wp:docPr id="26" name="Picture 1" descr="cement-sizes"/>
            <wp:cNvGraphicFramePr/>
            <a:graphic xmlns:a="http://schemas.openxmlformats.org/drawingml/2006/main">
              <a:graphicData uri="http://schemas.openxmlformats.org/drawingml/2006/picture">
                <pic:pic xmlns:pic="http://schemas.openxmlformats.org/drawingml/2006/picture">
                  <pic:nvPicPr>
                    <pic:cNvPr id="43011" name="Picture 14" descr="cement-sizes"/>
                    <pic:cNvPicPr>
                      <a:picLocks noGrp="1" noChangeAspect="1" noChangeArrowheads="1"/>
                    </pic:cNvPicPr>
                  </pic:nvPicPr>
                  <pic:blipFill>
                    <a:blip r:embed="rId84" cstate="print"/>
                    <a:srcRect/>
                    <a:stretch>
                      <a:fillRect/>
                    </a:stretch>
                  </pic:blipFill>
                  <pic:spPr bwMode="auto">
                    <a:xfrm>
                      <a:off x="0" y="0"/>
                      <a:ext cx="4576962" cy="2831995"/>
                    </a:xfrm>
                    <a:prstGeom prst="rect">
                      <a:avLst/>
                    </a:prstGeom>
                    <a:noFill/>
                    <a:ln w="9525">
                      <a:noFill/>
                      <a:miter lim="800000"/>
                      <a:headEnd/>
                      <a:tailEnd/>
                    </a:ln>
                  </pic:spPr>
                </pic:pic>
              </a:graphicData>
            </a:graphic>
          </wp:inline>
        </w:drawing>
      </w:r>
    </w:p>
    <w:p w:rsidR="004774B9" w:rsidRDefault="004774B9" w:rsidP="004774B9">
      <w:pPr>
        <w:adjustRightInd w:val="0"/>
        <w:jc w:val="center"/>
        <w:rPr>
          <w:spacing w:val="-2"/>
        </w:rPr>
      </w:pPr>
    </w:p>
    <w:p w:rsidR="004774B9" w:rsidRPr="00AE2309" w:rsidRDefault="005F2527" w:rsidP="004B4E81">
      <w:pPr>
        <w:pStyle w:val="APTechFigureCaption"/>
      </w:pPr>
      <w:bookmarkStart w:id="126" w:name="_Ref274924293"/>
      <w:bookmarkStart w:id="127" w:name="f26"/>
      <w:bookmarkStart w:id="128" w:name="_Toc295918050"/>
      <w:r>
        <w:t>Figure</w:t>
      </w:r>
      <w:bookmarkEnd w:id="126"/>
      <w:r w:rsidR="002918A7">
        <w:t xml:space="preserve"> </w:t>
      </w:r>
      <w:r w:rsidR="00F3038B">
        <w:t>3-2</w:t>
      </w:r>
      <w:bookmarkEnd w:id="127"/>
      <w:r w:rsidR="00CC4DEE">
        <w:t>2</w:t>
      </w:r>
      <w:r>
        <w:t xml:space="preserve">.  </w:t>
      </w:r>
      <w:r w:rsidR="004774B9">
        <w:t xml:space="preserve">Diagram illustrating the particle size distribution of cement </w:t>
      </w:r>
      <w:r>
        <w:br/>
      </w:r>
      <w:r w:rsidR="004774B9">
        <w:t>and common SCMs (</w:t>
      </w:r>
      <w:hyperlink r:id="rId85" w:history="1">
        <w:r w:rsidR="004774B9" w:rsidRPr="00C34073">
          <w:rPr>
            <w:rStyle w:val="Hyperlink"/>
            <w:spacing w:val="-2"/>
          </w:rPr>
          <w:t>Taylor et al. 2006</w:t>
        </w:r>
      </w:hyperlink>
      <w:r w:rsidR="004774B9">
        <w:t>).</w:t>
      </w:r>
      <w:bookmarkEnd w:id="128"/>
    </w:p>
    <w:p w:rsidR="004774B9" w:rsidRDefault="004774B9" w:rsidP="004774B9">
      <w:pPr>
        <w:adjustRightInd w:val="0"/>
        <w:rPr>
          <w:spacing w:val="-2"/>
        </w:rPr>
      </w:pPr>
    </w:p>
    <w:p w:rsidR="004774B9" w:rsidRDefault="004774B9" w:rsidP="005E11F5">
      <w:r>
        <w:t xml:space="preserve">The properties of fresh and hardened </w:t>
      </w:r>
      <w:r w:rsidR="00B55EC9">
        <w:t>concrete</w:t>
      </w:r>
      <w:r>
        <w:t xml:space="preserve">, whether an SCM is added at the concrete plant or introduced through a blended and performance cements, are largely controlled by the characteristics of the SCM used.  </w:t>
      </w:r>
      <w:r w:rsidR="00AA7638">
        <w:t>Table 3-15</w:t>
      </w:r>
      <w:r w:rsidR="00F3038B">
        <w:t xml:space="preserve"> </w:t>
      </w:r>
      <w:r>
        <w:t xml:space="preserve">summarizes some of the effects SCMs have on the fresh and hardened </w:t>
      </w:r>
      <w:r w:rsidR="00B55EC9">
        <w:t>concrete</w:t>
      </w:r>
      <w:r>
        <w:t xml:space="preserve"> properties.</w:t>
      </w:r>
    </w:p>
    <w:p w:rsidR="000413D4" w:rsidRPr="000413D4" w:rsidRDefault="000413D4" w:rsidP="000413D4">
      <w:bookmarkStart w:id="129" w:name="_Toc295918121"/>
    </w:p>
    <w:p w:rsidR="004774B9" w:rsidRDefault="005F2527" w:rsidP="005F2527">
      <w:pPr>
        <w:pStyle w:val="Caption"/>
      </w:pPr>
      <w:r>
        <w:t>Table</w:t>
      </w:r>
      <w:r w:rsidR="00C11CBD">
        <w:t xml:space="preserve"> </w:t>
      </w:r>
      <w:bookmarkStart w:id="130" w:name="t14"/>
      <w:r w:rsidR="00F3038B">
        <w:t>3-</w:t>
      </w:r>
      <w:r w:rsidR="00C11CBD">
        <w:t>1</w:t>
      </w:r>
      <w:bookmarkEnd w:id="130"/>
      <w:r w:rsidR="00CC4DEE">
        <w:t>5</w:t>
      </w:r>
      <w:r>
        <w:t xml:space="preserve">.  </w:t>
      </w:r>
      <w:r w:rsidR="004774B9" w:rsidRPr="00FB2579">
        <w:t>Summary of effects of SCMs</w:t>
      </w:r>
      <w:r w:rsidR="004774B9">
        <w:t xml:space="preserve"> on the fresh and hardened properties of </w:t>
      </w:r>
      <w:r w:rsidR="00B55EC9">
        <w:t>concrete</w:t>
      </w:r>
      <w:r w:rsidR="004774B9" w:rsidRPr="00FB2579">
        <w:t>.</w:t>
      </w:r>
      <w:bookmarkEnd w:id="129"/>
    </w:p>
    <w:tbl>
      <w:tblPr>
        <w:tblW w:w="9072"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CellMar>
          <w:top w:w="58" w:type="dxa"/>
          <w:left w:w="58" w:type="dxa"/>
          <w:bottom w:w="58" w:type="dxa"/>
          <w:right w:w="58" w:type="dxa"/>
        </w:tblCellMar>
        <w:tblLook w:val="01E0" w:firstRow="1" w:lastRow="1" w:firstColumn="1" w:lastColumn="1" w:noHBand="0" w:noVBand="0"/>
      </w:tblPr>
      <w:tblGrid>
        <w:gridCol w:w="3024"/>
        <w:gridCol w:w="2016"/>
        <w:gridCol w:w="2016"/>
        <w:gridCol w:w="2016"/>
      </w:tblGrid>
      <w:tr w:rsidR="004774B9" w:rsidRPr="00970A10" w:rsidTr="005F2527">
        <w:trPr>
          <w:trHeight w:val="299"/>
          <w:jc w:val="center"/>
        </w:trPr>
        <w:tc>
          <w:tcPr>
            <w:tcW w:w="3024" w:type="dxa"/>
            <w:tcBorders>
              <w:top w:val="double" w:sz="4" w:space="0" w:color="auto"/>
              <w:bottom w:val="double" w:sz="4" w:space="0" w:color="auto"/>
              <w:right w:val="double" w:sz="4" w:space="0" w:color="auto"/>
            </w:tcBorders>
            <w:vAlign w:val="center"/>
          </w:tcPr>
          <w:p w:rsidR="004774B9" w:rsidRPr="00970A10" w:rsidRDefault="004774B9" w:rsidP="005E11F5">
            <w:pPr>
              <w:jc w:val="center"/>
              <w:rPr>
                <w:b/>
                <w:sz w:val="20"/>
              </w:rPr>
            </w:pPr>
            <w:r w:rsidRPr="00970A10">
              <w:rPr>
                <w:b/>
                <w:sz w:val="20"/>
              </w:rPr>
              <w:t>Property/Characteristic/Attribute</w:t>
            </w:r>
          </w:p>
        </w:tc>
        <w:tc>
          <w:tcPr>
            <w:tcW w:w="2016" w:type="dxa"/>
            <w:tcBorders>
              <w:top w:val="double" w:sz="4" w:space="0" w:color="auto"/>
              <w:left w:val="nil"/>
              <w:bottom w:val="double" w:sz="4" w:space="0" w:color="auto"/>
            </w:tcBorders>
            <w:vAlign w:val="center"/>
          </w:tcPr>
          <w:p w:rsidR="004774B9" w:rsidRPr="00970A10" w:rsidRDefault="004774B9" w:rsidP="005E11F5">
            <w:pPr>
              <w:jc w:val="center"/>
              <w:rPr>
                <w:b/>
                <w:sz w:val="20"/>
              </w:rPr>
            </w:pPr>
            <w:r w:rsidRPr="00970A10">
              <w:rPr>
                <w:b/>
                <w:sz w:val="20"/>
              </w:rPr>
              <w:t>Type F</w:t>
            </w:r>
          </w:p>
        </w:tc>
        <w:tc>
          <w:tcPr>
            <w:tcW w:w="2016" w:type="dxa"/>
            <w:tcBorders>
              <w:top w:val="double" w:sz="4" w:space="0" w:color="auto"/>
              <w:bottom w:val="double" w:sz="4" w:space="0" w:color="auto"/>
            </w:tcBorders>
            <w:vAlign w:val="center"/>
          </w:tcPr>
          <w:p w:rsidR="004774B9" w:rsidRPr="00970A10" w:rsidRDefault="004774B9" w:rsidP="005E11F5">
            <w:pPr>
              <w:jc w:val="center"/>
              <w:rPr>
                <w:b/>
                <w:sz w:val="20"/>
              </w:rPr>
            </w:pPr>
            <w:r w:rsidRPr="00970A10">
              <w:rPr>
                <w:b/>
                <w:sz w:val="20"/>
              </w:rPr>
              <w:t>Type C</w:t>
            </w:r>
          </w:p>
        </w:tc>
        <w:tc>
          <w:tcPr>
            <w:tcW w:w="2016" w:type="dxa"/>
            <w:tcBorders>
              <w:top w:val="double" w:sz="4" w:space="0" w:color="auto"/>
              <w:bottom w:val="double" w:sz="4" w:space="0" w:color="auto"/>
            </w:tcBorders>
            <w:vAlign w:val="center"/>
          </w:tcPr>
          <w:p w:rsidR="004774B9" w:rsidRPr="00970A10" w:rsidRDefault="004774B9" w:rsidP="005E11F5">
            <w:pPr>
              <w:jc w:val="center"/>
              <w:rPr>
                <w:b/>
                <w:sz w:val="20"/>
              </w:rPr>
            </w:pPr>
            <w:r w:rsidRPr="00970A10">
              <w:rPr>
                <w:b/>
                <w:sz w:val="20"/>
              </w:rPr>
              <w:t>Slag Cement</w:t>
            </w:r>
          </w:p>
        </w:tc>
      </w:tr>
      <w:tr w:rsidR="004774B9" w:rsidTr="005F2527">
        <w:trPr>
          <w:jc w:val="center"/>
        </w:trPr>
        <w:tc>
          <w:tcPr>
            <w:tcW w:w="3024" w:type="dxa"/>
            <w:tcBorders>
              <w:top w:val="double" w:sz="4" w:space="0" w:color="auto"/>
              <w:right w:val="double" w:sz="4" w:space="0" w:color="auto"/>
            </w:tcBorders>
            <w:vAlign w:val="center"/>
          </w:tcPr>
          <w:p w:rsidR="004774B9" w:rsidRPr="00970A10" w:rsidRDefault="004774B9" w:rsidP="005F2527">
            <w:pPr>
              <w:rPr>
                <w:sz w:val="20"/>
              </w:rPr>
            </w:pPr>
            <w:r w:rsidRPr="00970A10">
              <w:rPr>
                <w:sz w:val="20"/>
              </w:rPr>
              <w:t>Workability</w:t>
            </w:r>
          </w:p>
        </w:tc>
        <w:tc>
          <w:tcPr>
            <w:tcW w:w="2016" w:type="dxa"/>
            <w:tcBorders>
              <w:top w:val="double" w:sz="4" w:space="0" w:color="auto"/>
              <w:left w:val="nil"/>
            </w:tcBorders>
            <w:vAlign w:val="center"/>
          </w:tcPr>
          <w:p w:rsidR="004774B9" w:rsidRPr="00970A10" w:rsidRDefault="004774B9" w:rsidP="005F2527">
            <w:pPr>
              <w:jc w:val="center"/>
              <w:rPr>
                <w:sz w:val="20"/>
              </w:rPr>
            </w:pPr>
            <w:r w:rsidRPr="00970A10">
              <w:rPr>
                <w:sz w:val="20"/>
              </w:rPr>
              <w:t>Improved</w:t>
            </w:r>
          </w:p>
        </w:tc>
        <w:tc>
          <w:tcPr>
            <w:tcW w:w="2016" w:type="dxa"/>
            <w:tcBorders>
              <w:top w:val="double" w:sz="4" w:space="0" w:color="auto"/>
            </w:tcBorders>
            <w:vAlign w:val="center"/>
          </w:tcPr>
          <w:p w:rsidR="004774B9" w:rsidRPr="00970A10" w:rsidRDefault="004774B9" w:rsidP="005F2527">
            <w:pPr>
              <w:jc w:val="center"/>
              <w:rPr>
                <w:sz w:val="20"/>
              </w:rPr>
            </w:pPr>
            <w:r w:rsidRPr="00970A10">
              <w:rPr>
                <w:sz w:val="20"/>
              </w:rPr>
              <w:t>Improved</w:t>
            </w:r>
          </w:p>
        </w:tc>
        <w:tc>
          <w:tcPr>
            <w:tcW w:w="2016" w:type="dxa"/>
            <w:tcBorders>
              <w:top w:val="double" w:sz="4" w:space="0" w:color="auto"/>
            </w:tcBorders>
            <w:vAlign w:val="center"/>
          </w:tcPr>
          <w:p w:rsidR="004774B9" w:rsidRPr="00970A10" w:rsidRDefault="004774B9" w:rsidP="005F2527">
            <w:pPr>
              <w:jc w:val="center"/>
              <w:rPr>
                <w:sz w:val="20"/>
              </w:rPr>
            </w:pPr>
            <w:r w:rsidRPr="00970A10">
              <w:rPr>
                <w:sz w:val="20"/>
              </w:rPr>
              <w:t>Improved</w:t>
            </w:r>
          </w:p>
        </w:tc>
      </w:tr>
      <w:tr w:rsidR="004774B9" w:rsidTr="005F2527">
        <w:trPr>
          <w:jc w:val="center"/>
        </w:trPr>
        <w:tc>
          <w:tcPr>
            <w:tcW w:w="3024" w:type="dxa"/>
            <w:tcBorders>
              <w:right w:val="double" w:sz="4" w:space="0" w:color="auto"/>
            </w:tcBorders>
            <w:vAlign w:val="center"/>
          </w:tcPr>
          <w:p w:rsidR="004774B9" w:rsidRPr="00970A10" w:rsidRDefault="004774B9" w:rsidP="005F2527">
            <w:pPr>
              <w:rPr>
                <w:sz w:val="20"/>
              </w:rPr>
            </w:pPr>
            <w:r w:rsidRPr="00970A10">
              <w:rPr>
                <w:sz w:val="20"/>
              </w:rPr>
              <w:t>Setting Time</w:t>
            </w:r>
          </w:p>
        </w:tc>
        <w:tc>
          <w:tcPr>
            <w:tcW w:w="2016" w:type="dxa"/>
            <w:tcBorders>
              <w:left w:val="nil"/>
            </w:tcBorders>
            <w:vAlign w:val="center"/>
          </w:tcPr>
          <w:p w:rsidR="004774B9" w:rsidRPr="00970A10" w:rsidRDefault="004774B9" w:rsidP="005F2527">
            <w:pPr>
              <w:jc w:val="center"/>
              <w:rPr>
                <w:sz w:val="20"/>
              </w:rPr>
            </w:pPr>
            <w:r w:rsidRPr="00970A10">
              <w:rPr>
                <w:sz w:val="20"/>
              </w:rPr>
              <w:t>Prolonged</w:t>
            </w:r>
          </w:p>
        </w:tc>
        <w:tc>
          <w:tcPr>
            <w:tcW w:w="2016" w:type="dxa"/>
            <w:vAlign w:val="center"/>
          </w:tcPr>
          <w:p w:rsidR="004774B9" w:rsidRPr="00970A10" w:rsidRDefault="004774B9" w:rsidP="005F2527">
            <w:pPr>
              <w:jc w:val="center"/>
              <w:rPr>
                <w:sz w:val="20"/>
              </w:rPr>
            </w:pPr>
            <w:r w:rsidRPr="00970A10">
              <w:rPr>
                <w:sz w:val="20"/>
              </w:rPr>
              <w:t>Varies depending on characteristics of ash</w:t>
            </w:r>
          </w:p>
        </w:tc>
        <w:tc>
          <w:tcPr>
            <w:tcW w:w="2016" w:type="dxa"/>
            <w:vAlign w:val="center"/>
          </w:tcPr>
          <w:p w:rsidR="004774B9" w:rsidRPr="00970A10" w:rsidRDefault="004774B9" w:rsidP="005F2527">
            <w:pPr>
              <w:jc w:val="center"/>
              <w:rPr>
                <w:sz w:val="20"/>
              </w:rPr>
            </w:pPr>
            <w:r w:rsidRPr="00970A10">
              <w:rPr>
                <w:sz w:val="20"/>
              </w:rPr>
              <w:t>Prolonged</w:t>
            </w:r>
          </w:p>
        </w:tc>
      </w:tr>
      <w:tr w:rsidR="004774B9" w:rsidTr="005F2527">
        <w:trPr>
          <w:jc w:val="center"/>
        </w:trPr>
        <w:tc>
          <w:tcPr>
            <w:tcW w:w="3024" w:type="dxa"/>
            <w:tcBorders>
              <w:right w:val="double" w:sz="4" w:space="0" w:color="auto"/>
            </w:tcBorders>
            <w:vAlign w:val="center"/>
          </w:tcPr>
          <w:p w:rsidR="004774B9" w:rsidRPr="00970A10" w:rsidRDefault="004774B9" w:rsidP="005F2527">
            <w:pPr>
              <w:rPr>
                <w:sz w:val="20"/>
              </w:rPr>
            </w:pPr>
            <w:r w:rsidRPr="00970A10">
              <w:rPr>
                <w:sz w:val="20"/>
              </w:rPr>
              <w:t>Heat of Hydration</w:t>
            </w:r>
          </w:p>
        </w:tc>
        <w:tc>
          <w:tcPr>
            <w:tcW w:w="2016" w:type="dxa"/>
            <w:tcBorders>
              <w:left w:val="nil"/>
            </w:tcBorders>
            <w:vAlign w:val="center"/>
          </w:tcPr>
          <w:p w:rsidR="004774B9" w:rsidRPr="00970A10" w:rsidRDefault="004774B9" w:rsidP="005F2527">
            <w:pPr>
              <w:jc w:val="center"/>
              <w:rPr>
                <w:sz w:val="20"/>
              </w:rPr>
            </w:pPr>
            <w:r w:rsidRPr="00970A10">
              <w:rPr>
                <w:sz w:val="20"/>
              </w:rPr>
              <w:t>Reduced</w:t>
            </w:r>
          </w:p>
        </w:tc>
        <w:tc>
          <w:tcPr>
            <w:tcW w:w="2016" w:type="dxa"/>
            <w:vAlign w:val="center"/>
          </w:tcPr>
          <w:p w:rsidR="004774B9" w:rsidRPr="00970A10" w:rsidRDefault="004774B9" w:rsidP="005F2527">
            <w:pPr>
              <w:jc w:val="center"/>
              <w:rPr>
                <w:sz w:val="20"/>
              </w:rPr>
            </w:pPr>
            <w:r w:rsidRPr="00970A10">
              <w:rPr>
                <w:sz w:val="20"/>
              </w:rPr>
              <w:t>Varies depending on characteristics of ash</w:t>
            </w:r>
          </w:p>
        </w:tc>
        <w:tc>
          <w:tcPr>
            <w:tcW w:w="2016" w:type="dxa"/>
            <w:vAlign w:val="center"/>
          </w:tcPr>
          <w:p w:rsidR="004774B9" w:rsidRPr="00970A10" w:rsidRDefault="004774B9" w:rsidP="005F2527">
            <w:pPr>
              <w:jc w:val="center"/>
              <w:rPr>
                <w:sz w:val="20"/>
              </w:rPr>
            </w:pPr>
            <w:r w:rsidRPr="00970A10">
              <w:rPr>
                <w:sz w:val="20"/>
              </w:rPr>
              <w:t>Reduced</w:t>
            </w:r>
          </w:p>
        </w:tc>
      </w:tr>
      <w:tr w:rsidR="004774B9" w:rsidTr="005F2527">
        <w:trPr>
          <w:jc w:val="center"/>
        </w:trPr>
        <w:tc>
          <w:tcPr>
            <w:tcW w:w="3024" w:type="dxa"/>
            <w:tcBorders>
              <w:right w:val="double" w:sz="4" w:space="0" w:color="auto"/>
            </w:tcBorders>
            <w:vAlign w:val="center"/>
          </w:tcPr>
          <w:p w:rsidR="004774B9" w:rsidRPr="00970A10" w:rsidRDefault="004774B9" w:rsidP="005F2527">
            <w:pPr>
              <w:rPr>
                <w:sz w:val="20"/>
              </w:rPr>
            </w:pPr>
            <w:r w:rsidRPr="00970A10">
              <w:rPr>
                <w:sz w:val="20"/>
              </w:rPr>
              <w:t>Bleeding</w:t>
            </w:r>
          </w:p>
        </w:tc>
        <w:tc>
          <w:tcPr>
            <w:tcW w:w="2016" w:type="dxa"/>
            <w:tcBorders>
              <w:left w:val="nil"/>
            </w:tcBorders>
            <w:vAlign w:val="center"/>
          </w:tcPr>
          <w:p w:rsidR="004774B9" w:rsidRPr="00970A10" w:rsidRDefault="004774B9" w:rsidP="005F2527">
            <w:pPr>
              <w:jc w:val="center"/>
              <w:rPr>
                <w:sz w:val="20"/>
              </w:rPr>
            </w:pPr>
            <w:r w:rsidRPr="00970A10">
              <w:rPr>
                <w:sz w:val="20"/>
              </w:rPr>
              <w:t>Reduced</w:t>
            </w:r>
          </w:p>
        </w:tc>
        <w:tc>
          <w:tcPr>
            <w:tcW w:w="2016" w:type="dxa"/>
            <w:vAlign w:val="center"/>
          </w:tcPr>
          <w:p w:rsidR="004774B9" w:rsidRPr="00970A10" w:rsidRDefault="004774B9" w:rsidP="005F2527">
            <w:pPr>
              <w:jc w:val="center"/>
              <w:rPr>
                <w:sz w:val="20"/>
              </w:rPr>
            </w:pPr>
            <w:r w:rsidRPr="00970A10">
              <w:rPr>
                <w:sz w:val="20"/>
              </w:rPr>
              <w:t>Reduced</w:t>
            </w:r>
          </w:p>
        </w:tc>
        <w:tc>
          <w:tcPr>
            <w:tcW w:w="2016" w:type="dxa"/>
            <w:vAlign w:val="center"/>
          </w:tcPr>
          <w:p w:rsidR="004774B9" w:rsidRPr="00970A10" w:rsidRDefault="004774B9" w:rsidP="005F2527">
            <w:pPr>
              <w:jc w:val="center"/>
              <w:rPr>
                <w:sz w:val="20"/>
              </w:rPr>
            </w:pPr>
            <w:r w:rsidRPr="00970A10">
              <w:rPr>
                <w:sz w:val="20"/>
              </w:rPr>
              <w:t>Reduced</w:t>
            </w:r>
          </w:p>
        </w:tc>
      </w:tr>
      <w:tr w:rsidR="004774B9" w:rsidTr="005F2527">
        <w:trPr>
          <w:jc w:val="center"/>
        </w:trPr>
        <w:tc>
          <w:tcPr>
            <w:tcW w:w="3024" w:type="dxa"/>
            <w:tcBorders>
              <w:right w:val="double" w:sz="4" w:space="0" w:color="auto"/>
            </w:tcBorders>
            <w:vAlign w:val="center"/>
          </w:tcPr>
          <w:p w:rsidR="004774B9" w:rsidRPr="00970A10" w:rsidRDefault="004774B9" w:rsidP="005F2527">
            <w:pPr>
              <w:rPr>
                <w:sz w:val="20"/>
              </w:rPr>
            </w:pPr>
            <w:r w:rsidRPr="00970A10">
              <w:rPr>
                <w:sz w:val="20"/>
              </w:rPr>
              <w:t>Air Void System</w:t>
            </w:r>
          </w:p>
        </w:tc>
        <w:tc>
          <w:tcPr>
            <w:tcW w:w="6048" w:type="dxa"/>
            <w:gridSpan w:val="3"/>
            <w:tcBorders>
              <w:left w:val="nil"/>
            </w:tcBorders>
            <w:vAlign w:val="center"/>
          </w:tcPr>
          <w:p w:rsidR="004774B9" w:rsidRPr="00970A10" w:rsidRDefault="004774B9" w:rsidP="005F2527">
            <w:pPr>
              <w:jc w:val="center"/>
              <w:rPr>
                <w:sz w:val="20"/>
              </w:rPr>
            </w:pPr>
            <w:r w:rsidRPr="00970A10">
              <w:rPr>
                <w:sz w:val="20"/>
              </w:rPr>
              <w:t>May adversely affect the establishment of a stable air-void system.</w:t>
            </w:r>
          </w:p>
        </w:tc>
      </w:tr>
      <w:tr w:rsidR="004774B9" w:rsidTr="005F2527">
        <w:trPr>
          <w:jc w:val="center"/>
        </w:trPr>
        <w:tc>
          <w:tcPr>
            <w:tcW w:w="3024" w:type="dxa"/>
            <w:tcBorders>
              <w:right w:val="double" w:sz="4" w:space="0" w:color="auto"/>
            </w:tcBorders>
            <w:vAlign w:val="center"/>
          </w:tcPr>
          <w:p w:rsidR="004774B9" w:rsidRPr="00970A10" w:rsidRDefault="004774B9" w:rsidP="005F2527">
            <w:pPr>
              <w:rPr>
                <w:sz w:val="20"/>
              </w:rPr>
            </w:pPr>
            <w:r w:rsidRPr="00970A10">
              <w:rPr>
                <w:sz w:val="20"/>
              </w:rPr>
              <w:t xml:space="preserve">Strength </w:t>
            </w:r>
          </w:p>
        </w:tc>
        <w:tc>
          <w:tcPr>
            <w:tcW w:w="6048" w:type="dxa"/>
            <w:gridSpan w:val="3"/>
            <w:tcBorders>
              <w:left w:val="nil"/>
            </w:tcBorders>
            <w:vAlign w:val="center"/>
          </w:tcPr>
          <w:p w:rsidR="004774B9" w:rsidRPr="00970A10" w:rsidRDefault="004774B9" w:rsidP="005F2527">
            <w:pPr>
              <w:jc w:val="center"/>
              <w:rPr>
                <w:sz w:val="20"/>
              </w:rPr>
            </w:pPr>
            <w:r w:rsidRPr="00970A10">
              <w:rPr>
                <w:sz w:val="20"/>
              </w:rPr>
              <w:t>Slower early strength gain. but long-term strength commonly increased.</w:t>
            </w:r>
          </w:p>
        </w:tc>
      </w:tr>
      <w:tr w:rsidR="004774B9" w:rsidTr="005F2527">
        <w:trPr>
          <w:jc w:val="center"/>
        </w:trPr>
        <w:tc>
          <w:tcPr>
            <w:tcW w:w="3024" w:type="dxa"/>
            <w:tcBorders>
              <w:bottom w:val="single" w:sz="4" w:space="0" w:color="auto"/>
              <w:right w:val="double" w:sz="4" w:space="0" w:color="auto"/>
            </w:tcBorders>
            <w:vAlign w:val="center"/>
          </w:tcPr>
          <w:p w:rsidR="004774B9" w:rsidRPr="00970A10" w:rsidRDefault="004774B9" w:rsidP="005F2527">
            <w:pPr>
              <w:rPr>
                <w:sz w:val="20"/>
              </w:rPr>
            </w:pPr>
            <w:r w:rsidRPr="00970A10">
              <w:rPr>
                <w:sz w:val="20"/>
              </w:rPr>
              <w:t>Permeability</w:t>
            </w:r>
          </w:p>
        </w:tc>
        <w:tc>
          <w:tcPr>
            <w:tcW w:w="2016" w:type="dxa"/>
            <w:tcBorders>
              <w:left w:val="nil"/>
              <w:bottom w:val="single" w:sz="4" w:space="0" w:color="auto"/>
            </w:tcBorders>
            <w:vAlign w:val="center"/>
          </w:tcPr>
          <w:p w:rsidR="004774B9" w:rsidRPr="00970A10" w:rsidRDefault="004774B9" w:rsidP="005F2527">
            <w:pPr>
              <w:jc w:val="center"/>
              <w:rPr>
                <w:sz w:val="20"/>
              </w:rPr>
            </w:pPr>
            <w:r w:rsidRPr="00970A10">
              <w:rPr>
                <w:sz w:val="20"/>
              </w:rPr>
              <w:t>Reduced</w:t>
            </w:r>
          </w:p>
        </w:tc>
        <w:tc>
          <w:tcPr>
            <w:tcW w:w="2016" w:type="dxa"/>
            <w:tcBorders>
              <w:bottom w:val="single" w:sz="4" w:space="0" w:color="auto"/>
            </w:tcBorders>
            <w:vAlign w:val="center"/>
          </w:tcPr>
          <w:p w:rsidR="004774B9" w:rsidRPr="00970A10" w:rsidRDefault="004774B9" w:rsidP="005F2527">
            <w:pPr>
              <w:jc w:val="center"/>
              <w:rPr>
                <w:sz w:val="20"/>
              </w:rPr>
            </w:pPr>
            <w:r w:rsidRPr="00970A10">
              <w:rPr>
                <w:sz w:val="20"/>
              </w:rPr>
              <w:t>Reduced</w:t>
            </w:r>
          </w:p>
        </w:tc>
        <w:tc>
          <w:tcPr>
            <w:tcW w:w="2016" w:type="dxa"/>
            <w:tcBorders>
              <w:bottom w:val="single" w:sz="4" w:space="0" w:color="auto"/>
            </w:tcBorders>
            <w:vAlign w:val="center"/>
          </w:tcPr>
          <w:p w:rsidR="004774B9" w:rsidRPr="00970A10" w:rsidRDefault="004774B9" w:rsidP="005F2527">
            <w:pPr>
              <w:jc w:val="center"/>
              <w:rPr>
                <w:sz w:val="20"/>
              </w:rPr>
            </w:pPr>
            <w:r w:rsidRPr="00970A10">
              <w:rPr>
                <w:sz w:val="20"/>
              </w:rPr>
              <w:t>Reduced</w:t>
            </w:r>
          </w:p>
        </w:tc>
      </w:tr>
      <w:tr w:rsidR="004774B9" w:rsidTr="005F2527">
        <w:trPr>
          <w:jc w:val="center"/>
        </w:trPr>
        <w:tc>
          <w:tcPr>
            <w:tcW w:w="3024" w:type="dxa"/>
            <w:tcBorders>
              <w:top w:val="single" w:sz="4" w:space="0" w:color="auto"/>
              <w:bottom w:val="double" w:sz="4" w:space="0" w:color="auto"/>
              <w:right w:val="double" w:sz="4" w:space="0" w:color="auto"/>
            </w:tcBorders>
            <w:vAlign w:val="center"/>
          </w:tcPr>
          <w:p w:rsidR="004774B9" w:rsidRPr="00970A10" w:rsidRDefault="004774B9" w:rsidP="005F2527">
            <w:pPr>
              <w:rPr>
                <w:sz w:val="20"/>
              </w:rPr>
            </w:pPr>
            <w:r w:rsidRPr="00970A10">
              <w:rPr>
                <w:sz w:val="20"/>
              </w:rPr>
              <w:t>Resistance to Alkali-Silica Reactivity</w:t>
            </w:r>
          </w:p>
        </w:tc>
        <w:tc>
          <w:tcPr>
            <w:tcW w:w="2016" w:type="dxa"/>
            <w:tcBorders>
              <w:top w:val="single" w:sz="4" w:space="0" w:color="auto"/>
              <w:left w:val="nil"/>
              <w:bottom w:val="double" w:sz="4" w:space="0" w:color="auto"/>
            </w:tcBorders>
            <w:vAlign w:val="center"/>
          </w:tcPr>
          <w:p w:rsidR="004774B9" w:rsidRPr="00970A10" w:rsidRDefault="004774B9" w:rsidP="005F2527">
            <w:pPr>
              <w:jc w:val="center"/>
              <w:rPr>
                <w:sz w:val="20"/>
              </w:rPr>
            </w:pPr>
            <w:r w:rsidRPr="00970A10">
              <w:rPr>
                <w:sz w:val="20"/>
              </w:rPr>
              <w:t>Increased</w:t>
            </w:r>
          </w:p>
        </w:tc>
        <w:tc>
          <w:tcPr>
            <w:tcW w:w="2016" w:type="dxa"/>
            <w:tcBorders>
              <w:top w:val="single" w:sz="4" w:space="0" w:color="auto"/>
              <w:bottom w:val="double" w:sz="4" w:space="0" w:color="auto"/>
            </w:tcBorders>
            <w:vAlign w:val="center"/>
          </w:tcPr>
          <w:p w:rsidR="004774B9" w:rsidRPr="00970A10" w:rsidRDefault="004774B9" w:rsidP="005F2527">
            <w:pPr>
              <w:jc w:val="center"/>
              <w:rPr>
                <w:sz w:val="20"/>
                <w:highlight w:val="yellow"/>
              </w:rPr>
            </w:pPr>
            <w:r w:rsidRPr="00970A10">
              <w:rPr>
                <w:sz w:val="20"/>
              </w:rPr>
              <w:t>Varies depending on characteristics of ash</w:t>
            </w:r>
          </w:p>
        </w:tc>
        <w:tc>
          <w:tcPr>
            <w:tcW w:w="2016" w:type="dxa"/>
            <w:tcBorders>
              <w:top w:val="single" w:sz="4" w:space="0" w:color="auto"/>
              <w:bottom w:val="double" w:sz="4" w:space="0" w:color="auto"/>
            </w:tcBorders>
            <w:vAlign w:val="center"/>
          </w:tcPr>
          <w:p w:rsidR="004774B9" w:rsidRPr="00970A10" w:rsidRDefault="004774B9" w:rsidP="005F2527">
            <w:pPr>
              <w:jc w:val="center"/>
              <w:rPr>
                <w:sz w:val="20"/>
                <w:highlight w:val="yellow"/>
              </w:rPr>
            </w:pPr>
            <w:r w:rsidRPr="00970A10">
              <w:rPr>
                <w:sz w:val="20"/>
              </w:rPr>
              <w:t>Increased</w:t>
            </w:r>
          </w:p>
        </w:tc>
      </w:tr>
    </w:tbl>
    <w:p w:rsidR="004774B9" w:rsidRDefault="004774B9" w:rsidP="004774B9"/>
    <w:p w:rsidR="000413D4" w:rsidRDefault="000413D4" w:rsidP="004774B9"/>
    <w:p w:rsidR="004774B9" w:rsidRDefault="004774B9" w:rsidP="005E11F5">
      <w:r>
        <w:t xml:space="preserve">In general, </w:t>
      </w:r>
      <w:r w:rsidR="00B55EC9">
        <w:t>concrete</w:t>
      </w:r>
      <w:r>
        <w:t xml:space="preserve"> containing Class F fly ash, slag cement, calcined shale, and/or calcined clay exhibit improved workability, increased setting time, reduced heat of hydration, and reduced bleeding (</w:t>
      </w:r>
      <w:hyperlink r:id="rId86" w:history="1">
        <w:r w:rsidRPr="00C34073">
          <w:rPr>
            <w:rStyle w:val="Hyperlink"/>
          </w:rPr>
          <w:t>Taylor et al. 2006</w:t>
        </w:r>
      </w:hyperlink>
      <w:r>
        <w:t>).  The longer setting times and the reduced heat of hydration can be advantageous during hot-weather concreting, but may be problematic under low placement temperatures.  In particular, late season placements with concrete containing Class F fly ash or slag cement can result in slow strength gain, which can hinder timely joint sawing operations and can also make the concrete vulnerable to freeze-thaw damage.  At the same time, the longer setting times and reduced bleeding characteristics of these SCMs may create conditions that will foster plastic shrinkage cracking.</w:t>
      </w:r>
    </w:p>
    <w:p w:rsidR="004774B9" w:rsidRDefault="004774B9" w:rsidP="005E11F5"/>
    <w:p w:rsidR="004774B9" w:rsidRDefault="004774B9" w:rsidP="005E11F5">
      <w:r>
        <w:t xml:space="preserve">The impact of Class C fly ash on fresh </w:t>
      </w:r>
      <w:r w:rsidR="00B55EC9">
        <w:t>concrete</w:t>
      </w:r>
      <w:r>
        <w:t xml:space="preserve"> properties is more varied.  Although water requirements are typically reduced, workability improves and bleeding is reduced.  The effects of Class C fly ash on early setting and heat of hydration can vary greatly depending on the properties of the specific fly ash being used.  Additionally, the potential for material incompatibilities are increased with a Class C fly ash, which can lead to early setting problems particularly as ambient temperatures </w:t>
      </w:r>
      <w:r w:rsidR="005F2527">
        <w:t>increase (</w:t>
      </w:r>
      <w:hyperlink r:id="rId87" w:history="1">
        <w:r w:rsidR="005F2527" w:rsidRPr="00C34073">
          <w:rPr>
            <w:rStyle w:val="Hyperlink"/>
          </w:rPr>
          <w:t>Taylor et al. 2006</w:t>
        </w:r>
      </w:hyperlink>
      <w:r w:rsidR="005F2527">
        <w:t>).</w:t>
      </w:r>
    </w:p>
    <w:p w:rsidR="004774B9" w:rsidRDefault="004774B9" w:rsidP="005E11F5"/>
    <w:p w:rsidR="004774B9" w:rsidRDefault="004774B9" w:rsidP="005E11F5">
      <w:r>
        <w:t xml:space="preserve">One important property often affected by the presence of SCMs is the quality of the entrained air-void system that is needed to protect the </w:t>
      </w:r>
      <w:r w:rsidR="00B55EC9">
        <w:t>concrete</w:t>
      </w:r>
      <w:r>
        <w:t xml:space="preserve"> against freeze-thaw damage.  Both the fineness of the SCM and the nature of carbon it contains can negatively impact the ability to create a suitable air-void system in </w:t>
      </w:r>
      <w:r w:rsidR="00B55EC9">
        <w:t>concrete</w:t>
      </w:r>
      <w:r>
        <w:t xml:space="preserve">.  Most SCMs will require additional air entraining admixture to achieve target air contents.  In the case of fly ash, particularly Class F fly ash, the higher carbon content can result in a collapse of the air-void system.  This has become more relevant as activated carbon, which is being used to mitigate mercury emissions at power plants, is at times co-mingled with the fly ash and requires beneficiation. </w:t>
      </w:r>
    </w:p>
    <w:p w:rsidR="004774B9" w:rsidRDefault="004774B9" w:rsidP="004774B9"/>
    <w:p w:rsidR="004774B9" w:rsidRDefault="004774B9" w:rsidP="005E11F5">
      <w:r>
        <w:t xml:space="preserve">The two major physical properties of hardened </w:t>
      </w:r>
      <w:r w:rsidR="00B55EC9">
        <w:t>concrete</w:t>
      </w:r>
      <w:r>
        <w:t xml:space="preserve"> made with blended and performance cements containing SCMs are the strength gain and permeability.  Although early strength gain is often delayed by most SCMs (e.g. Class F fly ash, slag cement, most natural pozzolans), long-term strength is commonly increased.  This positive attribute is a result of the improved microstructure resulting from pozzolanic and supplementary hydraulic reactions</w:t>
      </w:r>
      <w:r w:rsidR="00E042CC">
        <w:t>.</w:t>
      </w:r>
      <w:r>
        <w:t xml:space="preserve"> </w:t>
      </w:r>
      <w:r w:rsidR="00E042CC">
        <w:t xml:space="preserve"> </w:t>
      </w:r>
      <w:r w:rsidR="00E042CC" w:rsidRPr="00E042CC">
        <w:rPr>
          <w:color w:val="FF0000"/>
        </w:rPr>
        <w:t xml:space="preserve">These </w:t>
      </w:r>
      <w:r w:rsidR="00E042CC">
        <w:t>reactions</w:t>
      </w:r>
      <w:r>
        <w:t xml:space="preserve"> create more desirable hydration products while reducing permeability.</w:t>
      </w:r>
    </w:p>
    <w:p w:rsidR="004774B9" w:rsidRDefault="004774B9" w:rsidP="005E11F5"/>
    <w:p w:rsidR="004774B9" w:rsidRDefault="004774B9" w:rsidP="005E11F5">
      <w:r>
        <w:t xml:space="preserve">SCMs can be specifically selected to address alkali-silica reactivity (ASR) and/or sulfate attack. </w:t>
      </w:r>
      <w:r w:rsidR="00A83E01">
        <w:t xml:space="preserve"> </w:t>
      </w:r>
      <w:r>
        <w:t xml:space="preserve">The effectiveness of the cementitious system in mitigating ASR is an optional requirement at the purchaser’s request when purchasing blended or performance cements, based on the expansion results from ASTM C227, </w:t>
      </w:r>
      <w:r>
        <w:rPr>
          <w:i/>
        </w:rPr>
        <w:t>Standard Test Method for Potential Alkali Reactivity of Cement-Aggregate Combinations (Mortar-Bar Method)</w:t>
      </w:r>
      <w:r>
        <w:t xml:space="preserve">.  In addition, ASTM C1567, </w:t>
      </w:r>
      <w:r>
        <w:rPr>
          <w:i/>
        </w:rPr>
        <w:t>Standard Test Method for Determining the Potential Alkali-Silica Reactivity of Combinations of Cementitious Materials and Aggregate (Accelerated Mortar-Bar Method)</w:t>
      </w:r>
      <w:r>
        <w:t>,</w:t>
      </w:r>
      <w:r w:rsidR="00A83E01">
        <w:t xml:space="preserve"> and </w:t>
      </w:r>
      <w:r w:rsidR="00A83E01" w:rsidRPr="00BD28D7">
        <w:t xml:space="preserve">AASHTO </w:t>
      </w:r>
      <w:r w:rsidR="007F750A">
        <w:t>P</w:t>
      </w:r>
      <w:r w:rsidR="00A83E01" w:rsidRPr="00BD28D7">
        <w:t xml:space="preserve">P 65, </w:t>
      </w:r>
      <w:r w:rsidR="00A83E01" w:rsidRPr="00BD28D7">
        <w:rPr>
          <w:i/>
        </w:rPr>
        <w:t>Standard Practice for Determining the Reactivity of Concrete Aggregates and Selecting Appropriate Measures for preventing Deleterious Expansion in New Concrete Construction</w:t>
      </w:r>
      <w:r>
        <w:t xml:space="preserve"> can be used to determine the effectiveness of the selected cementitious system that includes portland cement and one or more SCMs in mitigating ASR (</w:t>
      </w:r>
      <w:hyperlink r:id="rId88" w:history="1">
        <w:r w:rsidRPr="00C34073">
          <w:rPr>
            <w:rStyle w:val="Hyperlink"/>
          </w:rPr>
          <w:t>Thomas, Fournier, and Folliard 2008</w:t>
        </w:r>
      </w:hyperlink>
      <w:r>
        <w:t>).</w:t>
      </w:r>
    </w:p>
    <w:p w:rsidR="004774B9" w:rsidRDefault="004774B9" w:rsidP="005E11F5"/>
    <w:p w:rsidR="004774B9" w:rsidRDefault="004774B9" w:rsidP="005E11F5">
      <w:r>
        <w:t>Resistance to sulfate attack is another optional requirement at the purchaser’s request for both AASHTO M</w:t>
      </w:r>
      <w:r w:rsidR="00537BE7">
        <w:t xml:space="preserve"> </w:t>
      </w:r>
      <w:r>
        <w:t xml:space="preserve">240 and ASTM C1157 cements.  In both cases, cement can be designated as moderate sulfate resistance (MS) or high sulfate resistance based on the expansion results from ASTM C1012, </w:t>
      </w:r>
      <w:r w:rsidRPr="00381D0D">
        <w:rPr>
          <w:i/>
        </w:rPr>
        <w:t>Standard Test Method for Length Change of Hydraulic-Cement Mortars Exposed to a Sulfate Solution</w:t>
      </w:r>
      <w:r>
        <w:t xml:space="preserve">. </w:t>
      </w:r>
      <w:r w:rsidR="005F2527">
        <w:t xml:space="preserve"> </w:t>
      </w:r>
      <w:r>
        <w:t>The same test method is used demonstrate the effectiveness of SCMs to be added at the concrete plant.</w:t>
      </w:r>
    </w:p>
    <w:p w:rsidR="004774B9" w:rsidRDefault="004774B9" w:rsidP="005E11F5"/>
    <w:p w:rsidR="004774B9" w:rsidRDefault="00B55EC9" w:rsidP="005F2527">
      <w:pPr>
        <w:pStyle w:val="Heading3"/>
      </w:pPr>
      <w:bookmarkStart w:id="131" w:name="_Toc295918648"/>
      <w:r>
        <w:t>Concrete</w:t>
      </w:r>
      <w:r w:rsidR="00266D9B">
        <w:t xml:space="preserve"> </w:t>
      </w:r>
      <w:r w:rsidR="005F2527">
        <w:t>A</w:t>
      </w:r>
      <w:r w:rsidR="004774B9">
        <w:t>dditives/</w:t>
      </w:r>
      <w:r w:rsidR="005F2527">
        <w:t>M</w:t>
      </w:r>
      <w:r w:rsidR="004774B9">
        <w:t>odifiers</w:t>
      </w:r>
      <w:bookmarkEnd w:id="131"/>
    </w:p>
    <w:p w:rsidR="004774B9" w:rsidRDefault="00E042CC" w:rsidP="005E11F5">
      <w:r>
        <w:t>A</w:t>
      </w:r>
      <w:r w:rsidR="004774B9">
        <w:t xml:space="preserve"> number of chemical admixtures and modifiers are used in </w:t>
      </w:r>
      <w:r w:rsidR="00B55EC9">
        <w:t>concrete</w:t>
      </w:r>
      <w:r w:rsidR="004774B9">
        <w:t xml:space="preserve">, and the number continues to grow.  This is one of the major differences between modern </w:t>
      </w:r>
      <w:r w:rsidR="00B55EC9">
        <w:t>concrete</w:t>
      </w:r>
      <w:r w:rsidR="004774B9">
        <w:t xml:space="preserve"> and that of 30 years ago, as the use of admixtures/additives have made it possible to pump </w:t>
      </w:r>
      <w:r w:rsidR="00B55EC9">
        <w:t>concrete</w:t>
      </w:r>
      <w:r w:rsidR="004774B9">
        <w:t xml:space="preserve"> great distances, to have it self-consolidate, to reach unimaginable strengths and ductility, and to be aesthetically pleasing.  This section presents a brief introduction to some of the more common chemical additives/modifiers used in transportation </w:t>
      </w:r>
      <w:r w:rsidR="00B55EC9">
        <w:t>concrete</w:t>
      </w:r>
      <w:r w:rsidR="004774B9">
        <w:t xml:space="preserve">.  More in depth information is provided by </w:t>
      </w:r>
      <w:r w:rsidR="006F6E9A">
        <w:t>Kosmatka, Kerkhoff, and Panarese</w:t>
      </w:r>
      <w:r w:rsidR="004774B9">
        <w:t xml:space="preserve"> (2002) and Taylor et al. (2006).</w:t>
      </w:r>
    </w:p>
    <w:p w:rsidR="004774B9" w:rsidRDefault="004774B9" w:rsidP="005E11F5"/>
    <w:p w:rsidR="004774B9" w:rsidRDefault="004774B9" w:rsidP="005F2527">
      <w:pPr>
        <w:pStyle w:val="Heading4"/>
      </w:pPr>
      <w:bookmarkStart w:id="132" w:name="_Toc295918649"/>
      <w:r>
        <w:t xml:space="preserve">Chemical </w:t>
      </w:r>
      <w:r w:rsidR="00F51B4A">
        <w:t>A</w:t>
      </w:r>
      <w:r>
        <w:t>dmixtures</w:t>
      </w:r>
      <w:bookmarkEnd w:id="132"/>
    </w:p>
    <w:p w:rsidR="004774B9" w:rsidRDefault="00E042CC" w:rsidP="005E11F5">
      <w:r>
        <w:t>A</w:t>
      </w:r>
      <w:r w:rsidR="004774B9">
        <w:t xml:space="preserve"> variety of chemical admixtures </w:t>
      </w:r>
      <w:r>
        <w:t xml:space="preserve">are </w:t>
      </w:r>
      <w:r w:rsidR="004774B9">
        <w:t xml:space="preserve">used in </w:t>
      </w:r>
      <w:r w:rsidR="00B55EC9">
        <w:t>concrete</w:t>
      </w:r>
      <w:r w:rsidR="004774B9">
        <w:t>.  These can be generally broken down into the following categories:</w:t>
      </w:r>
    </w:p>
    <w:p w:rsidR="004774B9" w:rsidRDefault="004774B9" w:rsidP="005E11F5"/>
    <w:p w:rsidR="004774B9" w:rsidRPr="008156B0" w:rsidRDefault="004774B9" w:rsidP="005B140A">
      <w:pPr>
        <w:pStyle w:val="ListParagraph"/>
        <w:numPr>
          <w:ilvl w:val="3"/>
          <w:numId w:val="13"/>
        </w:numPr>
        <w:autoSpaceDE w:val="0"/>
        <w:autoSpaceDN w:val="0"/>
        <w:adjustRightInd w:val="0"/>
        <w:ind w:left="720"/>
      </w:pPr>
      <w:r w:rsidRPr="008156B0">
        <w:t>Air-entraining admixtures</w:t>
      </w:r>
      <w:r w:rsidR="00DF35C4">
        <w:t>.</w:t>
      </w:r>
    </w:p>
    <w:p w:rsidR="004774B9" w:rsidRPr="008156B0" w:rsidRDefault="004774B9" w:rsidP="005B140A">
      <w:pPr>
        <w:pStyle w:val="ListParagraph"/>
        <w:numPr>
          <w:ilvl w:val="3"/>
          <w:numId w:val="13"/>
        </w:numPr>
        <w:autoSpaceDE w:val="0"/>
        <w:autoSpaceDN w:val="0"/>
        <w:adjustRightInd w:val="0"/>
        <w:ind w:left="720"/>
      </w:pPr>
      <w:r w:rsidRPr="008156B0">
        <w:t>Water-reducing admixtures</w:t>
      </w:r>
      <w:r w:rsidR="00DF35C4">
        <w:t>.</w:t>
      </w:r>
    </w:p>
    <w:p w:rsidR="004774B9" w:rsidRPr="008156B0" w:rsidRDefault="004774B9" w:rsidP="005B140A">
      <w:pPr>
        <w:pStyle w:val="ListParagraph"/>
        <w:numPr>
          <w:ilvl w:val="3"/>
          <w:numId w:val="13"/>
        </w:numPr>
        <w:autoSpaceDE w:val="0"/>
        <w:autoSpaceDN w:val="0"/>
        <w:adjustRightInd w:val="0"/>
        <w:ind w:left="720"/>
      </w:pPr>
      <w:r w:rsidRPr="008156B0">
        <w:t>Plasticizers</w:t>
      </w:r>
      <w:r w:rsidR="00DF35C4">
        <w:t>.</w:t>
      </w:r>
    </w:p>
    <w:p w:rsidR="004774B9" w:rsidRPr="008156B0" w:rsidRDefault="004774B9" w:rsidP="005B140A">
      <w:pPr>
        <w:pStyle w:val="ListParagraph"/>
        <w:numPr>
          <w:ilvl w:val="3"/>
          <w:numId w:val="13"/>
        </w:numPr>
        <w:autoSpaceDE w:val="0"/>
        <w:autoSpaceDN w:val="0"/>
        <w:adjustRightInd w:val="0"/>
        <w:ind w:left="720"/>
      </w:pPr>
      <w:r w:rsidRPr="008156B0">
        <w:t>Accelerating admixtures</w:t>
      </w:r>
      <w:r w:rsidR="00DF35C4">
        <w:t>.</w:t>
      </w:r>
    </w:p>
    <w:p w:rsidR="004774B9" w:rsidRPr="008156B0" w:rsidRDefault="004774B9" w:rsidP="005B140A">
      <w:pPr>
        <w:pStyle w:val="ListParagraph"/>
        <w:numPr>
          <w:ilvl w:val="3"/>
          <w:numId w:val="13"/>
        </w:numPr>
        <w:autoSpaceDE w:val="0"/>
        <w:autoSpaceDN w:val="0"/>
        <w:adjustRightInd w:val="0"/>
        <w:ind w:left="720"/>
      </w:pPr>
      <w:r w:rsidRPr="008156B0">
        <w:t>Retarding admixtures</w:t>
      </w:r>
      <w:r w:rsidR="00DF35C4">
        <w:t>.</w:t>
      </w:r>
    </w:p>
    <w:p w:rsidR="004774B9" w:rsidRPr="008156B0" w:rsidRDefault="004774B9" w:rsidP="005B140A">
      <w:pPr>
        <w:pStyle w:val="ListParagraph"/>
        <w:numPr>
          <w:ilvl w:val="3"/>
          <w:numId w:val="13"/>
        </w:numPr>
        <w:autoSpaceDE w:val="0"/>
        <w:autoSpaceDN w:val="0"/>
        <w:adjustRightInd w:val="0"/>
        <w:ind w:left="720"/>
      </w:pPr>
      <w:r w:rsidRPr="008156B0">
        <w:t>Hydration-control admixtures</w:t>
      </w:r>
      <w:r w:rsidR="00DF35C4">
        <w:t>.</w:t>
      </w:r>
    </w:p>
    <w:p w:rsidR="004774B9" w:rsidRPr="008156B0" w:rsidRDefault="004774B9" w:rsidP="005B140A">
      <w:pPr>
        <w:pStyle w:val="ListParagraph"/>
        <w:numPr>
          <w:ilvl w:val="3"/>
          <w:numId w:val="13"/>
        </w:numPr>
        <w:autoSpaceDE w:val="0"/>
        <w:autoSpaceDN w:val="0"/>
        <w:adjustRightInd w:val="0"/>
        <w:ind w:left="720"/>
      </w:pPr>
      <w:r w:rsidRPr="008156B0">
        <w:t>Corrosion inhibitors</w:t>
      </w:r>
      <w:r w:rsidR="00DF35C4">
        <w:t>.</w:t>
      </w:r>
    </w:p>
    <w:p w:rsidR="004774B9" w:rsidRPr="008156B0" w:rsidRDefault="004774B9" w:rsidP="005B140A">
      <w:pPr>
        <w:pStyle w:val="ListParagraph"/>
        <w:numPr>
          <w:ilvl w:val="3"/>
          <w:numId w:val="13"/>
        </w:numPr>
        <w:autoSpaceDE w:val="0"/>
        <w:autoSpaceDN w:val="0"/>
        <w:adjustRightInd w:val="0"/>
        <w:ind w:left="720"/>
      </w:pPr>
      <w:r w:rsidRPr="008156B0">
        <w:t>Shrinkage reducers</w:t>
      </w:r>
      <w:r w:rsidR="00DF35C4">
        <w:t>.</w:t>
      </w:r>
    </w:p>
    <w:p w:rsidR="004774B9" w:rsidRPr="008156B0" w:rsidRDefault="004774B9" w:rsidP="005B140A">
      <w:pPr>
        <w:pStyle w:val="ListParagraph"/>
        <w:numPr>
          <w:ilvl w:val="3"/>
          <w:numId w:val="13"/>
        </w:numPr>
        <w:autoSpaceDE w:val="0"/>
        <w:autoSpaceDN w:val="0"/>
        <w:adjustRightInd w:val="0"/>
        <w:ind w:left="720"/>
      </w:pPr>
      <w:r w:rsidRPr="008156B0">
        <w:t>Alkali-silica reactivity inhibitors</w:t>
      </w:r>
      <w:r w:rsidR="00DF35C4">
        <w:t>.</w:t>
      </w:r>
    </w:p>
    <w:p w:rsidR="004774B9" w:rsidRPr="008156B0" w:rsidRDefault="004774B9" w:rsidP="005B140A">
      <w:pPr>
        <w:pStyle w:val="ListParagraph"/>
        <w:numPr>
          <w:ilvl w:val="3"/>
          <w:numId w:val="13"/>
        </w:numPr>
        <w:autoSpaceDE w:val="0"/>
        <w:autoSpaceDN w:val="0"/>
        <w:adjustRightInd w:val="0"/>
        <w:ind w:left="720"/>
      </w:pPr>
      <w:r w:rsidRPr="008156B0">
        <w:t>Coloring admixtures</w:t>
      </w:r>
      <w:r w:rsidR="00DF35C4">
        <w:t>.</w:t>
      </w:r>
    </w:p>
    <w:p w:rsidR="004774B9" w:rsidRPr="008156B0" w:rsidRDefault="004774B9" w:rsidP="005B140A">
      <w:pPr>
        <w:pStyle w:val="ListParagraph"/>
        <w:numPr>
          <w:ilvl w:val="3"/>
          <w:numId w:val="13"/>
        </w:numPr>
        <w:autoSpaceDE w:val="0"/>
        <w:autoSpaceDN w:val="0"/>
        <w:adjustRightInd w:val="0"/>
        <w:ind w:left="720"/>
      </w:pPr>
      <w:r w:rsidRPr="008156B0">
        <w:t>Miscellaneous admixtures such as workability,</w:t>
      </w:r>
      <w:r>
        <w:t xml:space="preserve"> </w:t>
      </w:r>
      <w:r w:rsidRPr="008156B0">
        <w:t>bonding, dampproofing, permeability reducing,</w:t>
      </w:r>
      <w:r>
        <w:t xml:space="preserve"> </w:t>
      </w:r>
      <w:r w:rsidRPr="008156B0">
        <w:t>grouting, gas-forming, antiwashout,</w:t>
      </w:r>
      <w:r>
        <w:t xml:space="preserve"> </w:t>
      </w:r>
      <w:r w:rsidRPr="008156B0">
        <w:rPr>
          <w:szCs w:val="24"/>
        </w:rPr>
        <w:t>foaming, and pumping admixtures</w:t>
      </w:r>
      <w:r w:rsidR="00DF35C4">
        <w:rPr>
          <w:szCs w:val="24"/>
        </w:rPr>
        <w:t>.</w:t>
      </w:r>
    </w:p>
    <w:p w:rsidR="004774B9" w:rsidRDefault="004774B9" w:rsidP="005E11F5"/>
    <w:p w:rsidR="004774B9" w:rsidRDefault="006F6E9A" w:rsidP="005E11F5">
      <w:r>
        <w:t>Kosmatka, Kerkhoff, and Panarese</w:t>
      </w:r>
      <w:r w:rsidR="004774B9">
        <w:t xml:space="preserve"> (2002) provides an excellent summary of the various chemical admixtures that are available for use in </w:t>
      </w:r>
      <w:r w:rsidR="00B55EC9">
        <w:t>concrete</w:t>
      </w:r>
      <w:r w:rsidR="004774B9">
        <w:t>.  The following is a summary of the most commonly used chemical admixtures in concrete</w:t>
      </w:r>
      <w:r w:rsidR="00CC4DEE">
        <w:t xml:space="preserve"> (see also Table 3-16)</w:t>
      </w:r>
      <w:r w:rsidR="004774B9">
        <w:t>.</w:t>
      </w:r>
    </w:p>
    <w:p w:rsidR="004774B9" w:rsidRDefault="004774B9" w:rsidP="005E11F5"/>
    <w:p w:rsidR="00FA1A5E" w:rsidRDefault="00FA1A5E" w:rsidP="00FA1A5E">
      <w:pPr>
        <w:pStyle w:val="Heading4"/>
      </w:pPr>
      <w:bookmarkStart w:id="133" w:name="_Toc295918650"/>
      <w:r>
        <w:t>Air-Entraining Admixtures (AEAs)</w:t>
      </w:r>
      <w:bookmarkEnd w:id="133"/>
    </w:p>
    <w:p w:rsidR="00FA1A5E" w:rsidRDefault="00FA1A5E" w:rsidP="00FA1A5E">
      <w:r>
        <w:t>Air-entraining admixtures (AEAs) are used to purposely entrain small, spherical air bubbles into the concrete primarily for the purpose of protecting it from damage in a cyclic freeze-thaw environment.  Ideally, the microscopic air bubbles are uniformly distributed throughout the paste.  For thermodynamic reasons, even in saturated concrete, these bubbles remain empty, so as water in the much smaller capillary pores begins to freeze, the space provided by the entrained air is available to relieve the pressure generated, thus preventing cracking in the concrete.  A stereomicroscope micrograph of cut and polished air-entrained concrete is shown in</w:t>
      </w:r>
      <w:r w:rsidR="00AA7638">
        <w:t xml:space="preserve"> Figure 3-23</w:t>
      </w:r>
      <w:r>
        <w:t>.  As can be seen, the spherical air bubbles, which appear as dark circles, are prevalent and distributed throughout the paste.</w:t>
      </w:r>
    </w:p>
    <w:p w:rsidR="00FA1A5E" w:rsidRDefault="00FA1A5E" w:rsidP="00FA1A5E"/>
    <w:p w:rsidR="00FA1A5E" w:rsidRDefault="00FA1A5E" w:rsidP="00FA1A5E">
      <w:r>
        <w:t>In the past air-entraining cement was readily available where an air-entraining addition was interground with the cement, adding an “A” designation to the cement type (e.</w:t>
      </w:r>
      <w:r w:rsidRPr="005E11F5">
        <w:t>g</w:t>
      </w:r>
      <w:r>
        <w:t xml:space="preserve">. Type IA).  Today, is far more common to add the AEA to the concrete making materials either before or during mixing. </w:t>
      </w:r>
    </w:p>
    <w:p w:rsidR="005F2527" w:rsidRDefault="005F2527">
      <w:pPr>
        <w:rPr>
          <w:bCs/>
        </w:rPr>
      </w:pPr>
    </w:p>
    <w:p w:rsidR="000413D4" w:rsidRDefault="000413D4">
      <w:pPr>
        <w:rPr>
          <w:bCs/>
          <w:szCs w:val="18"/>
        </w:rPr>
      </w:pPr>
      <w:bookmarkStart w:id="134" w:name="_Ref274924796"/>
      <w:bookmarkStart w:id="135" w:name="_Toc295918122"/>
      <w:r>
        <w:br w:type="page"/>
      </w:r>
    </w:p>
    <w:p w:rsidR="004774B9" w:rsidRDefault="005F2527" w:rsidP="005F2527">
      <w:pPr>
        <w:pStyle w:val="Caption"/>
      </w:pPr>
      <w:r>
        <w:t>Table</w:t>
      </w:r>
      <w:bookmarkEnd w:id="134"/>
      <w:r w:rsidR="00C11CBD">
        <w:t xml:space="preserve"> </w:t>
      </w:r>
      <w:bookmarkStart w:id="136" w:name="t15"/>
      <w:r w:rsidR="00F3038B">
        <w:t>3-</w:t>
      </w:r>
      <w:bookmarkEnd w:id="136"/>
      <w:r w:rsidR="00CC4DEE">
        <w:t>16</w:t>
      </w:r>
      <w:r>
        <w:t xml:space="preserve">.  </w:t>
      </w:r>
      <w:r w:rsidR="004774B9">
        <w:t xml:space="preserve">Concrete </w:t>
      </w:r>
      <w:r w:rsidR="004774B9" w:rsidRPr="005F2527">
        <w:t>admixtures</w:t>
      </w:r>
      <w:r w:rsidR="004774B9" w:rsidRPr="008156B0">
        <w:t xml:space="preserve"> </w:t>
      </w:r>
      <w:r w:rsidR="004774B9">
        <w:t xml:space="preserve">for </w:t>
      </w:r>
      <w:r w:rsidR="00B55EC9">
        <w:t>concrete</w:t>
      </w:r>
      <w:r w:rsidR="004774B9">
        <w:t xml:space="preserve"> </w:t>
      </w:r>
      <w:r w:rsidR="004774B9" w:rsidRPr="008156B0">
        <w:t xml:space="preserve">by </w:t>
      </w:r>
      <w:r w:rsidR="004774B9">
        <w:t>c</w:t>
      </w:r>
      <w:r w:rsidR="004774B9" w:rsidRPr="008156B0">
        <w:t>lassification</w:t>
      </w:r>
      <w:r w:rsidR="004774B9">
        <w:t xml:space="preserve"> (</w:t>
      </w:r>
      <w:r w:rsidR="00936012">
        <w:t>Kostmatka and Wilson 2011</w:t>
      </w:r>
      <w:r w:rsidR="004774B9">
        <w:t>).</w:t>
      </w:r>
      <w:bookmarkEnd w:id="135"/>
    </w:p>
    <w:p w:rsidR="004774B9" w:rsidRPr="006C7696" w:rsidRDefault="004774B9" w:rsidP="004774B9">
      <w:pPr>
        <w:autoSpaceDE w:val="0"/>
        <w:autoSpaceDN w:val="0"/>
        <w:adjustRightInd w:val="0"/>
        <w:jc w:val="center"/>
        <w:rPr>
          <w:bCs/>
          <w:sz w:val="20"/>
        </w:rPr>
      </w:pPr>
      <w:r>
        <w:rPr>
          <w:bCs/>
          <w:noProof/>
          <w:sz w:val="20"/>
        </w:rPr>
        <w:drawing>
          <wp:inline distT="0" distB="0" distL="0" distR="0">
            <wp:extent cx="5943600" cy="7355840"/>
            <wp:effectExtent l="38100" t="19050" r="19050" b="16510"/>
            <wp:docPr id="31" name="Picture 1" descr="Admix_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x_10001.jpg"/>
                    <pic:cNvPicPr/>
                  </pic:nvPicPr>
                  <pic:blipFill>
                    <a:blip r:embed="rId89" cstate="print"/>
                    <a:stretch>
                      <a:fillRect/>
                    </a:stretch>
                  </pic:blipFill>
                  <pic:spPr>
                    <a:xfrm>
                      <a:off x="0" y="0"/>
                      <a:ext cx="5943600" cy="7355840"/>
                    </a:xfrm>
                    <a:prstGeom prst="rect">
                      <a:avLst/>
                    </a:prstGeom>
                    <a:ln>
                      <a:solidFill>
                        <a:schemeClr val="tx1"/>
                      </a:solidFill>
                    </a:ln>
                  </pic:spPr>
                </pic:pic>
              </a:graphicData>
            </a:graphic>
          </wp:inline>
        </w:drawing>
      </w:r>
    </w:p>
    <w:p w:rsidR="004774B9" w:rsidRDefault="004774B9" w:rsidP="00F51B4A">
      <w:pPr>
        <w:pStyle w:val="Caption"/>
      </w:pPr>
      <w:r w:rsidRPr="008156B0">
        <w:rPr>
          <w:spacing w:val="-2"/>
        </w:rPr>
        <w:br w:type="page"/>
      </w:r>
      <w:r w:rsidR="00F64A96">
        <w:rPr>
          <w:spacing w:val="-2"/>
        </w:rPr>
        <w:t>Table 3-1</w:t>
      </w:r>
      <w:r w:rsidR="00CC4DEE">
        <w:rPr>
          <w:spacing w:val="-2"/>
        </w:rPr>
        <w:t>6</w:t>
      </w:r>
      <w:r w:rsidR="00F64A96">
        <w:rPr>
          <w:spacing w:val="-2"/>
        </w:rPr>
        <w:t>.</w:t>
      </w:r>
      <w:r w:rsidR="00F51B4A">
        <w:t xml:space="preserve"> </w:t>
      </w:r>
      <w:r>
        <w:t xml:space="preserve"> Concrete a</w:t>
      </w:r>
      <w:r w:rsidRPr="008156B0">
        <w:t xml:space="preserve">dmixtures </w:t>
      </w:r>
      <w:r>
        <w:t xml:space="preserve">for </w:t>
      </w:r>
      <w:r w:rsidR="00B55EC9">
        <w:t>concrete</w:t>
      </w:r>
      <w:r>
        <w:t xml:space="preserve"> </w:t>
      </w:r>
      <w:r w:rsidRPr="008156B0">
        <w:t xml:space="preserve">by </w:t>
      </w:r>
      <w:r>
        <w:t>c</w:t>
      </w:r>
      <w:r w:rsidRPr="008156B0">
        <w:t>lassification</w:t>
      </w:r>
      <w:r>
        <w:t xml:space="preserve"> (</w:t>
      </w:r>
      <w:r w:rsidR="00F51B4A">
        <w:t>continued</w:t>
      </w:r>
      <w:r>
        <w:t>).</w:t>
      </w:r>
    </w:p>
    <w:p w:rsidR="004774B9" w:rsidRDefault="004774B9" w:rsidP="004774B9">
      <w:pPr>
        <w:jc w:val="center"/>
        <w:rPr>
          <w:spacing w:val="-2"/>
        </w:rPr>
      </w:pPr>
      <w:r>
        <w:rPr>
          <w:noProof/>
          <w:spacing w:val="-2"/>
        </w:rPr>
        <w:drawing>
          <wp:inline distT="0" distB="0" distL="0" distR="0">
            <wp:extent cx="5943600" cy="3810635"/>
            <wp:effectExtent l="19050" t="0" r="0" b="0"/>
            <wp:docPr id="32" name="Picture 2" descr="Admix_2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x_20001.jpg"/>
                    <pic:cNvPicPr/>
                  </pic:nvPicPr>
                  <pic:blipFill>
                    <a:blip r:embed="rId90" cstate="print"/>
                    <a:stretch>
                      <a:fillRect/>
                    </a:stretch>
                  </pic:blipFill>
                  <pic:spPr>
                    <a:xfrm>
                      <a:off x="0" y="0"/>
                      <a:ext cx="5943600" cy="3810635"/>
                    </a:xfrm>
                    <a:prstGeom prst="rect">
                      <a:avLst/>
                    </a:prstGeom>
                  </pic:spPr>
                </pic:pic>
              </a:graphicData>
            </a:graphic>
          </wp:inline>
        </w:drawing>
      </w:r>
    </w:p>
    <w:p w:rsidR="005F2527" w:rsidRDefault="005F2527" w:rsidP="005F2527"/>
    <w:p w:rsidR="005F2527" w:rsidRDefault="005F2527" w:rsidP="005F2527"/>
    <w:p w:rsidR="005F2527" w:rsidRPr="005D009C" w:rsidRDefault="005F2527" w:rsidP="00F51B4A">
      <w:pPr>
        <w:jc w:val="center"/>
      </w:pPr>
      <w:r>
        <w:rPr>
          <w:noProof/>
        </w:rPr>
        <w:drawing>
          <wp:inline distT="0" distB="0" distL="0" distR="0">
            <wp:extent cx="4648200" cy="3486150"/>
            <wp:effectExtent l="19050" t="0" r="0" b="0"/>
            <wp:docPr id="54" name="Picture 1" descr="C:\TVD\SD_I29\I-29_Hwy 42\aptech_sodak\stereo_microscope\V5ad_15x_ai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VD\SD_I29\I-29_Hwy 42\aptech_sodak\stereo_microscope\V5ad_15x_air.tif"/>
                    <pic:cNvPicPr>
                      <a:picLocks noChangeAspect="1" noChangeArrowheads="1"/>
                    </pic:cNvPicPr>
                  </pic:nvPicPr>
                  <pic:blipFill>
                    <a:blip r:embed="rId91" cstate="print"/>
                    <a:srcRect/>
                    <a:stretch>
                      <a:fillRect/>
                    </a:stretch>
                  </pic:blipFill>
                  <pic:spPr bwMode="auto">
                    <a:xfrm>
                      <a:off x="0" y="0"/>
                      <a:ext cx="4648556" cy="3486417"/>
                    </a:xfrm>
                    <a:prstGeom prst="rect">
                      <a:avLst/>
                    </a:prstGeom>
                    <a:noFill/>
                    <a:ln w="9525">
                      <a:noFill/>
                      <a:miter lim="800000"/>
                      <a:headEnd/>
                      <a:tailEnd/>
                    </a:ln>
                  </pic:spPr>
                </pic:pic>
              </a:graphicData>
            </a:graphic>
          </wp:inline>
        </w:drawing>
      </w:r>
    </w:p>
    <w:p w:rsidR="005F2527" w:rsidRDefault="00F51B4A" w:rsidP="004B4E81">
      <w:pPr>
        <w:pStyle w:val="APTechFigureCaption"/>
      </w:pPr>
      <w:bookmarkStart w:id="137" w:name="_Ref274924990"/>
      <w:bookmarkStart w:id="138" w:name="f27"/>
      <w:bookmarkStart w:id="139" w:name="_Toc295918051"/>
      <w:r>
        <w:t>Figure</w:t>
      </w:r>
      <w:bookmarkEnd w:id="137"/>
      <w:r w:rsidR="00F3038B">
        <w:t xml:space="preserve"> 3-2</w:t>
      </w:r>
      <w:bookmarkEnd w:id="138"/>
      <w:r w:rsidR="00CC4DEE">
        <w:t>3</w:t>
      </w:r>
      <w:r>
        <w:t xml:space="preserve">.  </w:t>
      </w:r>
      <w:r w:rsidR="005F2527">
        <w:t>Stereomicroscope micrograph of entrained air-void sy</w:t>
      </w:r>
      <w:r>
        <w:t>s</w:t>
      </w:r>
      <w:r w:rsidR="005F2527">
        <w:t>tem (</w:t>
      </w:r>
      <w:r>
        <w:t xml:space="preserve">magnified </w:t>
      </w:r>
      <w:r w:rsidR="005F2527">
        <w:t>7X)</w:t>
      </w:r>
      <w:r w:rsidR="00D15677">
        <w:t xml:space="preserve"> (photo courtesy of Karl Peterson).</w:t>
      </w:r>
      <w:bookmarkEnd w:id="139"/>
    </w:p>
    <w:p w:rsidR="004774B9" w:rsidRDefault="004774B9" w:rsidP="005E11F5"/>
    <w:p w:rsidR="00F504C5" w:rsidRDefault="00F504C5" w:rsidP="00F504C5">
      <w:pPr>
        <w:rPr>
          <w:i/>
        </w:rPr>
      </w:pPr>
      <w:r w:rsidRPr="00A806A8">
        <w:t xml:space="preserve">The primary materials used in AEAs are listed in Table </w:t>
      </w:r>
      <w:r w:rsidR="00A806A8" w:rsidRPr="00A806A8">
        <w:t>3-16.</w:t>
      </w:r>
      <w:r w:rsidRPr="00A806A8">
        <w:t xml:space="preserve">  Vinsol resins were the most</w:t>
      </w:r>
      <w:r>
        <w:t xml:space="preserve"> commonly used material and still are considered to be an excellent material for an AEA, but numerous other formulations are available.  AEAs are specified under AASHTO M 154 (ASTM C260), </w:t>
      </w:r>
      <w:r w:rsidRPr="001F02C7">
        <w:rPr>
          <w:i/>
        </w:rPr>
        <w:t>Standard Specification for Air-Entraining Admixtures for Concrete</w:t>
      </w:r>
      <w:r>
        <w:rPr>
          <w:i/>
        </w:rPr>
        <w:t xml:space="preserve"> </w:t>
      </w:r>
      <w:r>
        <w:t xml:space="preserve">and tested under AASHTO T 157, </w:t>
      </w:r>
      <w:r w:rsidRPr="004D196B">
        <w:rPr>
          <w:i/>
        </w:rPr>
        <w:t xml:space="preserve">Standard Method of Test for Air-Entraining Admixtures </w:t>
      </w:r>
      <w:r>
        <w:rPr>
          <w:i/>
        </w:rPr>
        <w:t>for</w:t>
      </w:r>
      <w:r w:rsidRPr="004D196B">
        <w:rPr>
          <w:i/>
        </w:rPr>
        <w:t xml:space="preserve"> Concrete.</w:t>
      </w:r>
    </w:p>
    <w:p w:rsidR="00F504C5" w:rsidRDefault="00F504C5" w:rsidP="005E11F5"/>
    <w:p w:rsidR="004774B9" w:rsidRPr="005F6DEB" w:rsidRDefault="004774B9" w:rsidP="005E11F5">
      <w:r>
        <w:t>Providing the required amount of total air in concrete having the desired air-void system properties continues to be a challenge.  It is not the total air in the concrete that matters, but instead how closely the individual air bubbles are spaced one from another.  The most common parameter used to assess this is referred to as the spacing factor, which can be thought of as the average distance between the furthest point in the paste and the closest air void as illustrated in</w:t>
      </w:r>
      <w:r w:rsidR="00F51B4A">
        <w:t xml:space="preserve"> </w:t>
      </w:r>
      <w:r w:rsidR="00AA7638">
        <w:t>Figure 3-24.</w:t>
      </w:r>
      <w:r>
        <w:t xml:space="preserve">  This is measured in hardened concrete in accordance with ASTM C457, </w:t>
      </w:r>
      <w:r>
        <w:rPr>
          <w:i/>
        </w:rPr>
        <w:t>Standard Test Method for Microscopical Determination of Parameters of the Air-Void System in Hardened Concrete</w:t>
      </w:r>
      <w:r>
        <w:t xml:space="preserve">.  The commonly accepted value for an acceptable spacing factor is 0.008 </w:t>
      </w:r>
      <w:r w:rsidR="00DF35C4">
        <w:t>in</w:t>
      </w:r>
      <w:r>
        <w:t>.</w:t>
      </w:r>
    </w:p>
    <w:p w:rsidR="004774B9" w:rsidRDefault="004774B9" w:rsidP="005E11F5"/>
    <w:p w:rsidR="004774B9" w:rsidRDefault="004774B9" w:rsidP="00F51B4A">
      <w:pPr>
        <w:jc w:val="center"/>
      </w:pPr>
      <w:r>
        <w:rPr>
          <w:noProof/>
        </w:rPr>
        <w:drawing>
          <wp:inline distT="0" distB="0" distL="0" distR="0">
            <wp:extent cx="3108960" cy="2103319"/>
            <wp:effectExtent l="19050" t="0" r="0" b="0"/>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srcRect/>
                    <a:stretch>
                      <a:fillRect/>
                    </a:stretch>
                  </pic:blipFill>
                  <pic:spPr bwMode="auto">
                    <a:xfrm>
                      <a:off x="0" y="0"/>
                      <a:ext cx="3108960" cy="2103319"/>
                    </a:xfrm>
                    <a:prstGeom prst="rect">
                      <a:avLst/>
                    </a:prstGeom>
                    <a:noFill/>
                    <a:ln w="9525">
                      <a:noFill/>
                      <a:miter lim="800000"/>
                      <a:headEnd/>
                      <a:tailEnd/>
                    </a:ln>
                  </pic:spPr>
                </pic:pic>
              </a:graphicData>
            </a:graphic>
          </wp:inline>
        </w:drawing>
      </w:r>
    </w:p>
    <w:p w:rsidR="004774B9" w:rsidRPr="005F6DEB" w:rsidRDefault="00F51B4A" w:rsidP="004B4E81">
      <w:pPr>
        <w:pStyle w:val="APTechFigureCaption"/>
      </w:pPr>
      <w:bookmarkStart w:id="140" w:name="_Ref274925213"/>
      <w:bookmarkStart w:id="141" w:name="f28"/>
      <w:bookmarkStart w:id="142" w:name="_Toc295918052"/>
      <w:r>
        <w:t>Figure</w:t>
      </w:r>
      <w:bookmarkEnd w:id="140"/>
      <w:r w:rsidR="002918A7">
        <w:t xml:space="preserve"> </w:t>
      </w:r>
      <w:r w:rsidR="00F3038B">
        <w:t>3-2</w:t>
      </w:r>
      <w:bookmarkEnd w:id="141"/>
      <w:r w:rsidR="00CC4DEE">
        <w:t>4</w:t>
      </w:r>
      <w:r>
        <w:t xml:space="preserve">.  </w:t>
      </w:r>
      <w:r w:rsidR="004774B9" w:rsidRPr="00F51B4A">
        <w:t>Illustration</w:t>
      </w:r>
      <w:r w:rsidR="004774B9">
        <w:t xml:space="preserve"> of spacing factor </w:t>
      </w:r>
      <w:r w:rsidR="0009392A">
        <w:t>(</w:t>
      </w:r>
      <w:r w:rsidR="00FB4ECF">
        <w:t>figure</w:t>
      </w:r>
      <w:r w:rsidR="0009392A">
        <w:t xml:space="preserve"> </w:t>
      </w:r>
      <w:r w:rsidR="00836BFE" w:rsidRPr="00836BFE">
        <w:t xml:space="preserve">courtesy of the Virginia </w:t>
      </w:r>
      <w:r w:rsidR="00836BFE">
        <w:t>DOT</w:t>
      </w:r>
      <w:r w:rsidR="004774B9">
        <w:t>).</w:t>
      </w:r>
      <w:bookmarkEnd w:id="142"/>
    </w:p>
    <w:p w:rsidR="004B4E81" w:rsidRDefault="004B4E81"/>
    <w:p w:rsidR="004774B9" w:rsidRDefault="004774B9" w:rsidP="005E11F5">
      <w:r>
        <w:t xml:space="preserve">The ability of a given AEA to entrain a stable air-void system that will survive the construction process depends on many factors including the AEA formulation, other mixture constituents (especially any sources of carbon), time of mixing, time to placement, retempering, </w:t>
      </w:r>
      <w:r w:rsidR="00B55EC9">
        <w:t>concrete</w:t>
      </w:r>
      <w:r>
        <w:t xml:space="preserve"> temperature, placement method, and finishing.  As the durability of the </w:t>
      </w:r>
      <w:r w:rsidR="00B55EC9">
        <w:t>concrete</w:t>
      </w:r>
      <w:r>
        <w:t xml:space="preserve"> is directly impacted by the characteristics of the air-void system (ACI 201), especially for pavements placed in a freeze-thaw environment, it is essential that the adequate testing be conducted to ensure that the AEA is compatible with all mix constituents and remains effective throughout the construction process (</w:t>
      </w:r>
      <w:hyperlink r:id="rId93" w:history="1">
        <w:r w:rsidRPr="00C34073">
          <w:rPr>
            <w:rStyle w:val="Hyperlink"/>
          </w:rPr>
          <w:t>Taylor et al. 2006</w:t>
        </w:r>
      </w:hyperlink>
      <w:r>
        <w:t>).</w:t>
      </w:r>
    </w:p>
    <w:p w:rsidR="004774B9" w:rsidRDefault="004774B9" w:rsidP="005E11F5"/>
    <w:p w:rsidR="004774B9" w:rsidRPr="005F6DEB" w:rsidRDefault="004774B9" w:rsidP="005E11F5">
      <w:r>
        <w:t xml:space="preserve">The addition of entrained air will improve the properties of the fresh concrete, creating a more workable, cohesive mixture with reduced bleeding and ease of finishing.  But for every 1 percent air added, the strength of the concrete is reduced by approximately 5 percent, an occurrence that can generally be overcome by reducing the </w:t>
      </w:r>
      <w:r w:rsidR="00F34A53">
        <w:t>water-cementitious material ratio (</w:t>
      </w:r>
      <w:r>
        <w:rPr>
          <w:i/>
        </w:rPr>
        <w:t>w/cm</w:t>
      </w:r>
      <w:r w:rsidR="00F34A53">
        <w:rPr>
          <w:i/>
        </w:rPr>
        <w:t>)</w:t>
      </w:r>
      <w:r>
        <w:t xml:space="preserve"> which is possible due to the improved workability.</w:t>
      </w:r>
    </w:p>
    <w:p w:rsidR="004774B9" w:rsidRDefault="004774B9" w:rsidP="005E11F5"/>
    <w:p w:rsidR="004774B9" w:rsidRDefault="004774B9" w:rsidP="00F34A53">
      <w:pPr>
        <w:pStyle w:val="Heading4"/>
      </w:pPr>
      <w:bookmarkStart w:id="143" w:name="_Toc295918651"/>
      <w:r>
        <w:t>Water-</w:t>
      </w:r>
      <w:r w:rsidR="00F34A53">
        <w:t>R</w:t>
      </w:r>
      <w:r>
        <w:t xml:space="preserve">educing </w:t>
      </w:r>
      <w:r w:rsidR="00F34A53">
        <w:t>A</w:t>
      </w:r>
      <w:r>
        <w:t>dmixtures (WRAs)</w:t>
      </w:r>
      <w:bookmarkEnd w:id="143"/>
    </w:p>
    <w:p w:rsidR="004774B9" w:rsidRDefault="004774B9" w:rsidP="005E11F5">
      <w:r>
        <w:t xml:space="preserve">Water-reducing admixtures (WRA) are used to reduce the amount of water needed to obtain a given workability (as measured by slump).  The reduction in mix water allows for the </w:t>
      </w:r>
      <w:r>
        <w:rPr>
          <w:i/>
        </w:rPr>
        <w:t>w/cm</w:t>
      </w:r>
      <w:r>
        <w:t xml:space="preserve"> to be lowered, yet maintaining adequate workability to place and consolidate the </w:t>
      </w:r>
      <w:r w:rsidR="00B55EC9">
        <w:t>concrete</w:t>
      </w:r>
      <w:r>
        <w:t xml:space="preserve"> for a given application.  This is very important, as the </w:t>
      </w:r>
      <w:r>
        <w:rPr>
          <w:i/>
        </w:rPr>
        <w:t>w/cm</w:t>
      </w:r>
      <w:r>
        <w:t xml:space="preserve"> is the single most important parameter related to concrete quality, with lower values of </w:t>
      </w:r>
      <w:r>
        <w:rPr>
          <w:i/>
        </w:rPr>
        <w:t>w/cm</w:t>
      </w:r>
      <w:r>
        <w:t xml:space="preserve"> (in the range of 0.40 to 0.45) having significantly higher strength and lower permeability than slightly higher values (0.50</w:t>
      </w:r>
      <w:r w:rsidR="003D5DBC">
        <w:t>)</w:t>
      </w:r>
      <w:r>
        <w:t xml:space="preserve"> </w:t>
      </w:r>
      <w:r w:rsidR="003D5DBC">
        <w:t>.</w:t>
      </w:r>
      <w:r>
        <w:t xml:space="preserve">Through the use of WRAs, workable </w:t>
      </w:r>
      <w:r w:rsidR="00B55EC9">
        <w:t>concrete</w:t>
      </w:r>
      <w:r>
        <w:t xml:space="preserve"> can be readily mixed, transported, placed, and consolidated while meeting strength and permeability requirements.</w:t>
      </w:r>
    </w:p>
    <w:p w:rsidR="004774B9" w:rsidRDefault="004774B9" w:rsidP="005E11F5"/>
    <w:p w:rsidR="004774B9" w:rsidRDefault="004774B9" w:rsidP="005E11F5">
      <w:r>
        <w:t xml:space="preserve">WRAs are specified under AASHTO M 194 (ASTM C494), </w:t>
      </w:r>
      <w:r w:rsidRPr="0028517C">
        <w:rPr>
          <w:i/>
        </w:rPr>
        <w:t>Standard Specification for Chemical Admixtures in Concrete</w:t>
      </w:r>
      <w:r>
        <w:t xml:space="preserve">.  These are summarized in </w:t>
      </w:r>
      <w:r w:rsidR="00F64A96">
        <w:t>Table</w:t>
      </w:r>
      <w:r w:rsidR="00A806A8">
        <w:t xml:space="preserve"> 3-16 </w:t>
      </w:r>
      <w:r>
        <w:t>and can be categorized as follows:</w:t>
      </w:r>
    </w:p>
    <w:p w:rsidR="004774B9" w:rsidRDefault="004774B9" w:rsidP="005E11F5"/>
    <w:p w:rsidR="004774B9" w:rsidRDefault="004774B9" w:rsidP="005B140A">
      <w:pPr>
        <w:pStyle w:val="ListParagraph"/>
        <w:numPr>
          <w:ilvl w:val="0"/>
          <w:numId w:val="14"/>
        </w:numPr>
        <w:adjustRightInd w:val="0"/>
        <w:ind w:left="720"/>
        <w:rPr>
          <w:spacing w:val="-2"/>
        </w:rPr>
      </w:pPr>
      <w:r>
        <w:rPr>
          <w:spacing w:val="-2"/>
        </w:rPr>
        <w:t>Normal range water-reducing admixture (NRWRA) – AASHTO M 194 Type A</w:t>
      </w:r>
      <w:r w:rsidR="00DF35C4">
        <w:rPr>
          <w:spacing w:val="-2"/>
        </w:rPr>
        <w:t>.</w:t>
      </w:r>
    </w:p>
    <w:p w:rsidR="004774B9" w:rsidRDefault="004774B9" w:rsidP="005B140A">
      <w:pPr>
        <w:pStyle w:val="ListParagraph"/>
        <w:numPr>
          <w:ilvl w:val="0"/>
          <w:numId w:val="14"/>
        </w:numPr>
        <w:adjustRightInd w:val="0"/>
        <w:ind w:left="720"/>
        <w:rPr>
          <w:spacing w:val="-2"/>
        </w:rPr>
      </w:pPr>
      <w:r>
        <w:rPr>
          <w:spacing w:val="-2"/>
        </w:rPr>
        <w:t>NRWRA and accelerator – AASHTO M 194, Type E</w:t>
      </w:r>
      <w:r w:rsidR="00DF35C4">
        <w:rPr>
          <w:spacing w:val="-2"/>
        </w:rPr>
        <w:t>.</w:t>
      </w:r>
    </w:p>
    <w:p w:rsidR="004774B9" w:rsidRDefault="004774B9" w:rsidP="005B140A">
      <w:pPr>
        <w:pStyle w:val="ListParagraph"/>
        <w:numPr>
          <w:ilvl w:val="0"/>
          <w:numId w:val="14"/>
        </w:numPr>
        <w:adjustRightInd w:val="0"/>
        <w:ind w:left="720"/>
        <w:rPr>
          <w:spacing w:val="-2"/>
        </w:rPr>
      </w:pPr>
      <w:r>
        <w:rPr>
          <w:spacing w:val="-2"/>
        </w:rPr>
        <w:t>NRWRA and retarder – AASHTO M 194, Type D</w:t>
      </w:r>
      <w:r w:rsidR="00DF35C4">
        <w:rPr>
          <w:spacing w:val="-2"/>
        </w:rPr>
        <w:t>.</w:t>
      </w:r>
    </w:p>
    <w:p w:rsidR="004774B9" w:rsidRDefault="004774B9" w:rsidP="005B140A">
      <w:pPr>
        <w:pStyle w:val="ListParagraph"/>
        <w:numPr>
          <w:ilvl w:val="0"/>
          <w:numId w:val="14"/>
        </w:numPr>
        <w:adjustRightInd w:val="0"/>
        <w:ind w:left="720"/>
        <w:rPr>
          <w:spacing w:val="-2"/>
        </w:rPr>
      </w:pPr>
      <w:r>
        <w:rPr>
          <w:spacing w:val="-2"/>
        </w:rPr>
        <w:t>Mid-range water-reducing admixture (MRWRA</w:t>
      </w:r>
      <w:r w:rsidR="00B21DE9">
        <w:rPr>
          <w:spacing w:val="-2"/>
        </w:rPr>
        <w:t>)</w:t>
      </w:r>
      <w:r>
        <w:rPr>
          <w:spacing w:val="-2"/>
        </w:rPr>
        <w:t xml:space="preserve"> – No standard specification</w:t>
      </w:r>
      <w:r w:rsidR="00DF35C4">
        <w:rPr>
          <w:spacing w:val="-2"/>
        </w:rPr>
        <w:t>.</w:t>
      </w:r>
    </w:p>
    <w:p w:rsidR="004774B9" w:rsidRDefault="004774B9" w:rsidP="005B140A">
      <w:pPr>
        <w:pStyle w:val="ListParagraph"/>
        <w:numPr>
          <w:ilvl w:val="0"/>
          <w:numId w:val="14"/>
        </w:numPr>
        <w:adjustRightInd w:val="0"/>
        <w:ind w:left="720"/>
        <w:rPr>
          <w:spacing w:val="-2"/>
        </w:rPr>
      </w:pPr>
      <w:r>
        <w:rPr>
          <w:spacing w:val="-2"/>
        </w:rPr>
        <w:t>High-range water reducing admixture (HRWRA) – AASHTO M 194, Type F</w:t>
      </w:r>
      <w:r w:rsidR="00DF35C4">
        <w:rPr>
          <w:spacing w:val="-2"/>
        </w:rPr>
        <w:t>.</w:t>
      </w:r>
    </w:p>
    <w:p w:rsidR="004774B9" w:rsidRPr="0028517C" w:rsidRDefault="004774B9" w:rsidP="005B140A">
      <w:pPr>
        <w:pStyle w:val="ListParagraph"/>
        <w:numPr>
          <w:ilvl w:val="0"/>
          <w:numId w:val="14"/>
        </w:numPr>
        <w:adjustRightInd w:val="0"/>
        <w:ind w:left="720"/>
        <w:rPr>
          <w:spacing w:val="-2"/>
        </w:rPr>
      </w:pPr>
      <w:r>
        <w:rPr>
          <w:spacing w:val="-2"/>
        </w:rPr>
        <w:t>HRWRA and retarder – AASHTO M 194, Type G</w:t>
      </w:r>
      <w:r w:rsidR="00DF35C4">
        <w:rPr>
          <w:spacing w:val="-2"/>
        </w:rPr>
        <w:t>.</w:t>
      </w:r>
    </w:p>
    <w:p w:rsidR="004774B9" w:rsidRDefault="004774B9" w:rsidP="004774B9">
      <w:pPr>
        <w:adjustRightInd w:val="0"/>
        <w:rPr>
          <w:spacing w:val="-2"/>
        </w:rPr>
      </w:pPr>
    </w:p>
    <w:p w:rsidR="004774B9" w:rsidRPr="00F941DB" w:rsidRDefault="004774B9" w:rsidP="005E11F5">
      <w:r>
        <w:t xml:space="preserve">NRWRA typically reduce water demand by 5 to 10 percent, MRWRA by 6 to 12 percent, and HRWRA by 12 to 30 percent.  As is true with all admixtures, innovations continue to change formulations and new WRA are constantly being introduced that have improved properties including the ability to remain effective for longer periods of time (reduced tendency for slump loss) and having less tendency to retard setting.  The newer HRWRA that are based on co-polymer chemistry are an example of the evolving technology.  HRWRA are also essentially superplasticizers when they meet the requirements of ASTM C1017, </w:t>
      </w:r>
      <w:r>
        <w:rPr>
          <w:i/>
        </w:rPr>
        <w:t>Standard Specification for Chemical Admixtures for Use in Producing Flowing Concrete.</w:t>
      </w:r>
    </w:p>
    <w:p w:rsidR="004774B9" w:rsidRDefault="004774B9" w:rsidP="005E11F5"/>
    <w:p w:rsidR="004774B9" w:rsidRDefault="004774B9" w:rsidP="005E11F5">
      <w:r>
        <w:t xml:space="preserve">Although WRA have been a wonderful innovation for the concrete industry, their frequent use has </w:t>
      </w:r>
      <w:r w:rsidR="007543E3">
        <w:t>led</w:t>
      </w:r>
      <w:r>
        <w:t xml:space="preserve"> to some incompatibility issues.  In particular, MRWRA have been associated with a number of early and delayed setting problems, particularly when used with Class C fly ash during hot temperatures (</w:t>
      </w:r>
      <w:hyperlink r:id="rId94" w:history="1">
        <w:r w:rsidRPr="00C34073">
          <w:rPr>
            <w:rStyle w:val="Hyperlink"/>
          </w:rPr>
          <w:t>Taylor et al. 2006</w:t>
        </w:r>
      </w:hyperlink>
      <w:r>
        <w:t xml:space="preserve">).  And it is also known that many HRWRA will impact the characteristics of the air-void system, creating larger air bubbles that are less effective in protecting the </w:t>
      </w:r>
      <w:r w:rsidR="00B55EC9">
        <w:t>concrete</w:t>
      </w:r>
      <w:r>
        <w:t xml:space="preserve"> against damage from cyclic freezing-thawing (Whiting and Nagi 1998).</w:t>
      </w:r>
    </w:p>
    <w:p w:rsidR="004774B9" w:rsidRDefault="004774B9" w:rsidP="005E11F5"/>
    <w:p w:rsidR="004774B9" w:rsidRDefault="004774B9" w:rsidP="00F34A53">
      <w:pPr>
        <w:pStyle w:val="Heading4"/>
      </w:pPr>
      <w:bookmarkStart w:id="144" w:name="_Toc295918652"/>
      <w:r>
        <w:t xml:space="preserve">Accelerating </w:t>
      </w:r>
      <w:r w:rsidR="00F34A53">
        <w:t>A</w:t>
      </w:r>
      <w:r>
        <w:t>dmixtures</w:t>
      </w:r>
      <w:bookmarkEnd w:id="144"/>
    </w:p>
    <w:p w:rsidR="004774B9" w:rsidRDefault="004774B9" w:rsidP="005E11F5">
      <w:r>
        <w:t>Accelerating admixtures, commonly called accelerators, are used to accelerate hydration, resulting in earlier setting and strength development, although long-term strength often suffers.  They are most often used in the precast industry allowing rapid stripping of forms and when construction is being “fast-tracked</w:t>
      </w:r>
      <w:r w:rsidR="0063796C">
        <w:t>.</w:t>
      </w:r>
      <w:r>
        <w:t xml:space="preserve">”  Accelerators are often used in conjunction with other methods to accelerate strength gain including Type III cement, lower </w:t>
      </w:r>
      <w:r>
        <w:rPr>
          <w:i/>
        </w:rPr>
        <w:t>w/cm</w:t>
      </w:r>
      <w:r>
        <w:t>, and curing at higher temperatures.  Accelerators are also used when temperature decreases to maintain acceptable setting times, but accelerators are not anti-freeze agents, and thus will not protect concrete against freezing.</w:t>
      </w:r>
    </w:p>
    <w:p w:rsidR="004774B9" w:rsidRDefault="004774B9" w:rsidP="005E11F5"/>
    <w:p w:rsidR="004774B9" w:rsidRDefault="004774B9" w:rsidP="005E11F5">
      <w:r>
        <w:t xml:space="preserve">Accelerators are specified as Type C, as well as Type E, under AASHTO M 194 (ASTM C494), </w:t>
      </w:r>
      <w:r w:rsidRPr="0028517C">
        <w:rPr>
          <w:i/>
        </w:rPr>
        <w:t>Standard Specification for Chemical Admixtures in Concrete</w:t>
      </w:r>
      <w:r>
        <w:t xml:space="preserve">.  As listed in </w:t>
      </w:r>
      <w:r w:rsidR="00F64A96">
        <w:t xml:space="preserve">Table </w:t>
      </w:r>
      <w:r w:rsidR="00A806A8">
        <w:t>3-16,</w:t>
      </w:r>
      <w:r>
        <w:t xml:space="preserve"> calcium chloride is the most common accelerator although non-chloride accelerators are available.  The advantage of calcium chloride is that it is extremely effective at relatively low cost, but it will increase drying shrinkage and may cause corrosion of embedded steel.  It is common to add calcium chloride to the </w:t>
      </w:r>
      <w:r w:rsidR="00B55EC9">
        <w:t>concrete</w:t>
      </w:r>
      <w:r>
        <w:t xml:space="preserve"> at 1 to 1.5 percent of the mass of the cementitious materials, and in no case should the addit</w:t>
      </w:r>
      <w:r w:rsidR="0063796C">
        <w:t>ion be greater than 2 percent.</w:t>
      </w:r>
    </w:p>
    <w:p w:rsidR="004774B9" w:rsidRDefault="004774B9" w:rsidP="005E11F5"/>
    <w:p w:rsidR="004774B9" w:rsidRDefault="0063796C" w:rsidP="0063796C">
      <w:pPr>
        <w:pStyle w:val="Heading4"/>
      </w:pPr>
      <w:bookmarkStart w:id="145" w:name="_Toc295918653"/>
      <w:r>
        <w:t>R</w:t>
      </w:r>
      <w:r w:rsidR="004774B9">
        <w:t xml:space="preserve">etarding </w:t>
      </w:r>
      <w:r>
        <w:t>A</w:t>
      </w:r>
      <w:r w:rsidR="004774B9">
        <w:t>dmixtures</w:t>
      </w:r>
      <w:bookmarkEnd w:id="145"/>
    </w:p>
    <w:p w:rsidR="004774B9" w:rsidRDefault="004774B9" w:rsidP="005E11F5">
      <w:r>
        <w:t>Retarding admixtures, commonly called retarders, are used to delay the setting time of concrete.  This is often done during high temperature placements, but this is not recommended as cooling the concrete is much more effective and simply using a retarder can cause some setting problems (</w:t>
      </w:r>
      <w:r w:rsidR="006F6E9A">
        <w:t>Kosmatka, Kerkhoff, and Panarese</w:t>
      </w:r>
      <w:r>
        <w:t xml:space="preserve"> 2002).  Retarders are helpful under difficult or unusual placement conditions, allowing more time to transport and place concrete before initial set.  For example, when placing concrete monolithically in a large placement, retarders are often used so that successive placements can be vibrated together thus avoiding a cold joint.  Retarders are also used to create exposed aggregate surfaces, which are not only used to improve aesthetics for some applications, but also to create a good surface for some pavement applications.</w:t>
      </w:r>
    </w:p>
    <w:p w:rsidR="004774B9" w:rsidRDefault="004774B9" w:rsidP="005E11F5"/>
    <w:p w:rsidR="004774B9" w:rsidRDefault="004774B9" w:rsidP="005E11F5">
      <w:r>
        <w:t xml:space="preserve">Retarder are specified as Type B, as well as Types A, D, and G, under AASHTO M 194 (ASTM C494), </w:t>
      </w:r>
      <w:r w:rsidRPr="0028517C">
        <w:rPr>
          <w:i/>
        </w:rPr>
        <w:t>Standard Specification for Chemical Admixtures in Concrete</w:t>
      </w:r>
      <w:r>
        <w:t xml:space="preserve">.  Common materials used as retarders are listed in </w:t>
      </w:r>
      <w:r w:rsidR="00F64A96">
        <w:t xml:space="preserve">Table </w:t>
      </w:r>
      <w:r w:rsidR="00A806A8">
        <w:t>3-16.</w:t>
      </w:r>
      <w:r>
        <w:t xml:space="preserve">  Although early strength gain (within 3 days) can be delayed when retarders are used, it is often observed that long-term strength gain is increased.</w:t>
      </w:r>
    </w:p>
    <w:p w:rsidR="004774B9" w:rsidRDefault="004774B9" w:rsidP="005E11F5"/>
    <w:p w:rsidR="004774B9" w:rsidRDefault="004774B9" w:rsidP="0063796C">
      <w:pPr>
        <w:pStyle w:val="Heading4"/>
      </w:pPr>
      <w:bookmarkStart w:id="146" w:name="_Toc295918654"/>
      <w:r>
        <w:t xml:space="preserve">Other </w:t>
      </w:r>
      <w:r w:rsidR="0063796C">
        <w:t>C</w:t>
      </w:r>
      <w:r>
        <w:t xml:space="preserve">hemical </w:t>
      </w:r>
      <w:r w:rsidR="0063796C">
        <w:t>A</w:t>
      </w:r>
      <w:r>
        <w:t>dmixtures</w:t>
      </w:r>
      <w:bookmarkEnd w:id="146"/>
    </w:p>
    <w:p w:rsidR="004774B9" w:rsidRPr="00AE7B75" w:rsidRDefault="004774B9" w:rsidP="005E11F5">
      <w:r>
        <w:t xml:space="preserve">There are many other chemical admixtures as listed in </w:t>
      </w:r>
      <w:r w:rsidR="00F64A96">
        <w:t xml:space="preserve">Table </w:t>
      </w:r>
      <w:r w:rsidR="00A806A8">
        <w:t xml:space="preserve">3-16 </w:t>
      </w:r>
      <w:r>
        <w:t xml:space="preserve">that may see use in the construction of transportation infrastructure including ASR inhibitors, antiwashout admixtures, hydration-control admixtures, and permeability reducers.  In addition, new admixtures are being introduced as </w:t>
      </w:r>
      <w:r w:rsidR="00B55EC9">
        <w:t>concrete</w:t>
      </w:r>
      <w:r>
        <w:t xml:space="preserve"> technology continues to advance (e.g. the advent of self-compacting concrete (SCC) has made the use of viscosity modi</w:t>
      </w:r>
      <w:r w:rsidR="0063796C">
        <w:t>fying admixtures more common).</w:t>
      </w:r>
    </w:p>
    <w:p w:rsidR="004774B9" w:rsidRPr="008156B0" w:rsidRDefault="004774B9" w:rsidP="004774B9">
      <w:pPr>
        <w:adjustRightInd w:val="0"/>
        <w:rPr>
          <w:spacing w:val="-2"/>
        </w:rPr>
      </w:pPr>
    </w:p>
    <w:p w:rsidR="004774B9" w:rsidRDefault="004774B9" w:rsidP="004355D2">
      <w:pPr>
        <w:pStyle w:val="Heading4"/>
      </w:pPr>
      <w:bookmarkStart w:id="147" w:name="_Toc295918655"/>
      <w:r>
        <w:t xml:space="preserve">Coloring </w:t>
      </w:r>
      <w:r w:rsidR="0063796C">
        <w:t>A</w:t>
      </w:r>
      <w:r>
        <w:t>dmixtures (</w:t>
      </w:r>
      <w:r w:rsidR="0063796C">
        <w:t>P</w:t>
      </w:r>
      <w:r>
        <w:t>igments)</w:t>
      </w:r>
      <w:bookmarkEnd w:id="147"/>
    </w:p>
    <w:p w:rsidR="004774B9" w:rsidRDefault="004774B9" w:rsidP="005E11F5">
      <w:r>
        <w:t xml:space="preserve">The use of pigments in concrete to improve aesthetic, increase safety or to improve the environmental footprint by increasing the surface reflectivity of a project is common.  Pigments are specified in accordance with ASTM C979, </w:t>
      </w:r>
      <w:r>
        <w:rPr>
          <w:i/>
        </w:rPr>
        <w:t>Standard Specification for Pigments for Integrally Colored Concrete.</w:t>
      </w:r>
      <w:r>
        <w:t xml:space="preserve">  Various natural and synthetic materials are available that will readily change the color of </w:t>
      </w:r>
      <w:r w:rsidR="00B55EC9">
        <w:t>concrete</w:t>
      </w:r>
      <w:r>
        <w:t xml:space="preserve">.  These can be used to make bridges, barriers, and sound walls more attractive, differentiate crosswalks and curbs to enhance pedestrian safety, or lighten paved surfaces to reduce the urban heat island effect.  Pigments should not exceed 10 percent by weight of cement in </w:t>
      </w:r>
      <w:r w:rsidR="00B55EC9">
        <w:t>concrete</w:t>
      </w:r>
      <w:r>
        <w:t>, and in general at addition rates of less than 6</w:t>
      </w:r>
      <w:r w:rsidR="00583AC9">
        <w:t xml:space="preserve"> percent</w:t>
      </w:r>
      <w:r>
        <w:t>, do not affect concrete properties (</w:t>
      </w:r>
      <w:r w:rsidR="006F6E9A">
        <w:t>Kosmatka, Kerkhoff, and Panarese</w:t>
      </w:r>
      <w:r>
        <w:t xml:space="preserve"> 2002).  One exception is unmodified carbon black, which will substantially reduce air content and therefore compromise freeze-thaw durability.  Pigments should be tested with all other concrete making materials to be used on a given project to ensure compatibility.</w:t>
      </w:r>
    </w:p>
    <w:p w:rsidR="004774B9" w:rsidRPr="00642F0B" w:rsidRDefault="004774B9" w:rsidP="004774B9">
      <w:pPr>
        <w:adjustRightInd w:val="0"/>
        <w:rPr>
          <w:spacing w:val="-2"/>
        </w:rPr>
      </w:pPr>
    </w:p>
    <w:p w:rsidR="004774B9" w:rsidRDefault="004774B9" w:rsidP="004355D2">
      <w:pPr>
        <w:pStyle w:val="Heading4"/>
      </w:pPr>
      <w:bookmarkStart w:id="148" w:name="_Toc295918656"/>
      <w:r>
        <w:t>Fibers</w:t>
      </w:r>
      <w:bookmarkEnd w:id="148"/>
    </w:p>
    <w:p w:rsidR="004774B9" w:rsidRDefault="004774B9" w:rsidP="005E11F5">
      <w:r>
        <w:t xml:space="preserve">Concrete is a quasi-brittle material that behaves much better in compression than tension.  To compensate for this behavior, steel reinforcement bars are commonly embedded in the structure to carry load in tension.  As an alternative, or as a supplementary reinforcement, small, discrete fibers can be added to the concrete mixture.  Fibers can be made from steel, aramid, carbon, plastic, glass, synthesized rock, or be biologically derived.  Many different types of fibers are currently available, from low addition rate polypropylene fibers used primarily to reduce plastic shrinkage cracking and subsidence cracking to high end steel and aramid fiber systems designed to create high strength, ductile concrete that does not require additional reinforcement.  Structural bridge elements have been manufactured from proprietary fiber-reinforced concrete.  See </w:t>
      </w:r>
      <w:r w:rsidR="006F6E9A">
        <w:t>Kosmatka, Kerkhoff, and Panarese</w:t>
      </w:r>
      <w:r>
        <w:t xml:space="preserve"> (2</w:t>
      </w:r>
      <w:r w:rsidR="00012B49">
        <w:t>002</w:t>
      </w:r>
      <w:r>
        <w:t>) for additional information on the use of fiber in concrete.</w:t>
      </w:r>
    </w:p>
    <w:p w:rsidR="0063796C" w:rsidRPr="00BD0416" w:rsidRDefault="0063796C" w:rsidP="005E11F5"/>
    <w:p w:rsidR="004774B9" w:rsidRDefault="004774B9" w:rsidP="0063796C">
      <w:pPr>
        <w:pStyle w:val="Heading3"/>
      </w:pPr>
      <w:bookmarkStart w:id="149" w:name="_Toc295918657"/>
      <w:r>
        <w:t xml:space="preserve">Types of </w:t>
      </w:r>
      <w:r w:rsidR="00B55EC9">
        <w:t>Concrete</w:t>
      </w:r>
      <w:r>
        <w:t xml:space="preserve"> Mixtures</w:t>
      </w:r>
      <w:bookmarkEnd w:id="149"/>
    </w:p>
    <w:p w:rsidR="004774B9" w:rsidRDefault="004774B9" w:rsidP="005E11F5">
      <w:r>
        <w:t xml:space="preserve">All </w:t>
      </w:r>
      <w:r w:rsidR="00B55EC9">
        <w:t>concrete</w:t>
      </w:r>
      <w:r>
        <w:t xml:space="preserve"> consists of a blend of aggregates held together by a paste formed by a chemical reaction that occurs between the cementitious materials (e.g. portland cement and/or SCMs) and water.  Air is entrapped and purposefully entrained in the </w:t>
      </w:r>
      <w:r w:rsidR="00B55EC9">
        <w:t>concrete</w:t>
      </w:r>
      <w:r>
        <w:t xml:space="preserve"> and admixtures and additives are used to modify the fresh and/or hardened properties of the </w:t>
      </w:r>
      <w:r w:rsidR="00B55EC9">
        <w:t>concrete</w:t>
      </w:r>
      <w:r>
        <w:t>.  The proportion and nature of these basic components are adjusted to create specific types of concrete mixtures.</w:t>
      </w:r>
      <w:r w:rsidR="00DD57C0">
        <w:t xml:space="preserve">  In general, a concrete mixture consists of 9 to 15 percent cement, 15 to 16 percent water, 25 to 35 percent fine aggregate, and 30-45 percent coarse aggregate.  The paste is defined as the cement plus the water, the mortar is defined as the paste plus the fine aggregate, and finally, the mortar plus the coarse aggregate is defined as concrete.</w:t>
      </w:r>
    </w:p>
    <w:p w:rsidR="004774B9" w:rsidRDefault="004774B9" w:rsidP="005E11F5"/>
    <w:p w:rsidR="004774B9" w:rsidRDefault="004774B9" w:rsidP="00F12498">
      <w:pPr>
        <w:pStyle w:val="Heading4"/>
      </w:pPr>
      <w:bookmarkStart w:id="150" w:name="_Toc295918658"/>
      <w:r w:rsidRPr="00166EEB">
        <w:t>Conventional</w:t>
      </w:r>
      <w:r>
        <w:t xml:space="preserve"> </w:t>
      </w:r>
      <w:r w:rsidR="00B55EC9">
        <w:t>Concrete</w:t>
      </w:r>
      <w:bookmarkEnd w:id="150"/>
    </w:p>
    <w:p w:rsidR="004774B9" w:rsidRDefault="004774B9" w:rsidP="005E11F5">
      <w:r>
        <w:t xml:space="preserve">Conventional </w:t>
      </w:r>
      <w:r w:rsidR="00B55EC9">
        <w:t>concrete</w:t>
      </w:r>
      <w:r>
        <w:t xml:space="preserve"> is made by blending coarse and fine aggregate (can be gap graded or a blended optimized gradation) with enough cementitious paste (typically a minimum of 400 lbs/yd</w:t>
      </w:r>
      <w:r>
        <w:rPr>
          <w:vertAlign w:val="superscript"/>
        </w:rPr>
        <w:t>3</w:t>
      </w:r>
      <w:r>
        <w:t xml:space="preserve">) at a </w:t>
      </w:r>
      <w:r w:rsidRPr="00891935">
        <w:rPr>
          <w:i/>
        </w:rPr>
        <w:t>w/cm</w:t>
      </w:r>
      <w:r>
        <w:t xml:space="preserve"> of 0.40 to 0.60 (based on strength and durability requirements) to create a dense, relatively impermeable hardened concrete.  Typical 28-day compressive strength for conventional </w:t>
      </w:r>
      <w:r w:rsidR="00B55EC9">
        <w:t>concrete</w:t>
      </w:r>
      <w:r>
        <w:t xml:space="preserve"> varies from 3000 psi to 6000 psi, but of course this depends on the application and design requirements.  Maximum aggregate size is typically up to 1.5 </w:t>
      </w:r>
      <w:r w:rsidR="00DF35C4">
        <w:t>in.</w:t>
      </w:r>
      <w:r>
        <w:t xml:space="preserve">, but even larger aggregates can be used.  The total air content typically varies from 4.5 to 7 percent.  At least 90 percent of ready-mix concrete would be categorized as conventional </w:t>
      </w:r>
      <w:r w:rsidR="00B55EC9">
        <w:t>concrete</w:t>
      </w:r>
      <w:r>
        <w:t>.</w:t>
      </w:r>
    </w:p>
    <w:p w:rsidR="007D3590" w:rsidRDefault="007D3590" w:rsidP="005E11F5"/>
    <w:p w:rsidR="00E13055" w:rsidRPr="00E13055" w:rsidRDefault="00E13055" w:rsidP="005E11F5">
      <w:pPr>
        <w:rPr>
          <w:color w:val="FF0000"/>
        </w:rPr>
      </w:pPr>
      <w:r w:rsidRPr="00E13055">
        <w:rPr>
          <w:color w:val="FF0000"/>
        </w:rPr>
        <w:t xml:space="preserve">For slip-form pavement applications, </w:t>
      </w:r>
      <w:r w:rsidRPr="008578D2">
        <w:rPr>
          <w:color w:val="7030A0"/>
        </w:rPr>
        <w:t>concrete</w:t>
      </w:r>
      <w:r w:rsidR="008578D2">
        <w:rPr>
          <w:color w:val="7030A0"/>
        </w:rPr>
        <w:t xml:space="preserve"> typically requires </w:t>
      </w:r>
      <w:r w:rsidRPr="00E13055">
        <w:rPr>
          <w:color w:val="FF0000"/>
        </w:rPr>
        <w:t>low</w:t>
      </w:r>
      <w:r w:rsidR="008578D2">
        <w:rPr>
          <w:color w:val="7030A0"/>
        </w:rPr>
        <w:t>er</w:t>
      </w:r>
      <w:r w:rsidRPr="00E13055">
        <w:rPr>
          <w:color w:val="FF0000"/>
        </w:rPr>
        <w:t xml:space="preserve"> slump</w:t>
      </w:r>
      <w:r w:rsidR="008578D2">
        <w:rPr>
          <w:color w:val="FF0000"/>
        </w:rPr>
        <w:t xml:space="preserve"> </w:t>
      </w:r>
      <w:r w:rsidR="008578D2">
        <w:rPr>
          <w:color w:val="7030A0"/>
        </w:rPr>
        <w:t>and</w:t>
      </w:r>
      <w:r w:rsidRPr="00E13055">
        <w:rPr>
          <w:color w:val="FF0000"/>
        </w:rPr>
        <w:t xml:space="preserve"> low</w:t>
      </w:r>
      <w:r w:rsidR="008578D2">
        <w:rPr>
          <w:color w:val="7030A0"/>
        </w:rPr>
        <w:t>er</w:t>
      </w:r>
      <w:r w:rsidRPr="00E13055">
        <w:rPr>
          <w:color w:val="FF0000"/>
        </w:rPr>
        <w:t xml:space="preserve"> water content</w:t>
      </w:r>
      <w:r w:rsidR="008578D2">
        <w:rPr>
          <w:color w:val="7030A0"/>
        </w:rPr>
        <w:t>, to retain shape,</w:t>
      </w:r>
      <w:r w:rsidR="008578D2">
        <w:rPr>
          <w:color w:val="FF0000"/>
        </w:rPr>
        <w:t xml:space="preserve"> </w:t>
      </w:r>
      <w:r w:rsidR="008578D2">
        <w:rPr>
          <w:color w:val="7030A0"/>
        </w:rPr>
        <w:t>than in hand-formed pavement and structural applications.</w:t>
      </w:r>
    </w:p>
    <w:p w:rsidR="00E13055" w:rsidRPr="00891935" w:rsidRDefault="00E13055" w:rsidP="005E11F5"/>
    <w:p w:rsidR="004774B9" w:rsidRDefault="004774B9" w:rsidP="00F12498">
      <w:pPr>
        <w:pStyle w:val="Heading4"/>
      </w:pPr>
      <w:bookmarkStart w:id="151" w:name="_Toc295918659"/>
      <w:r w:rsidRPr="00166EEB">
        <w:t xml:space="preserve">High </w:t>
      </w:r>
      <w:r w:rsidR="00F12498">
        <w:t>S</w:t>
      </w:r>
      <w:r w:rsidRPr="00166EEB">
        <w:t>trength</w:t>
      </w:r>
      <w:r>
        <w:t xml:space="preserve"> </w:t>
      </w:r>
      <w:bookmarkEnd w:id="151"/>
      <w:r w:rsidR="00B55EC9">
        <w:t>Concrete</w:t>
      </w:r>
    </w:p>
    <w:p w:rsidR="004774B9" w:rsidRPr="007079F7" w:rsidRDefault="004774B9" w:rsidP="005E11F5">
      <w:r>
        <w:t xml:space="preserve">The definition of high strength </w:t>
      </w:r>
      <w:r w:rsidR="00B55EC9">
        <w:t>concrete</w:t>
      </w:r>
      <w:r>
        <w:t xml:space="preserve"> (also called high-performance concrete) has continued to change over the years, but it is commonly considered to be a dense concrete with a </w:t>
      </w:r>
      <w:r w:rsidRPr="007466E6">
        <w:rPr>
          <w:i/>
        </w:rPr>
        <w:t>w/cm</w:t>
      </w:r>
      <w:r>
        <w:t xml:space="preserve"> ranging from 0.28 to 0.32 and a 28-day and compressive strengths greater than 10,000 psi.  Air contents are typically low (less than 2 percent) as the concrete is so dense there is little freezable water and sufficient strength to resist damage.  As the strength of the mixture increases, the size of the coarse aggregate decreases.  The highest strength </w:t>
      </w:r>
      <w:r w:rsidR="00B55EC9">
        <w:t>concrete</w:t>
      </w:r>
      <w:r>
        <w:t xml:space="preserve"> mixtures are basically mortars with </w:t>
      </w:r>
      <w:r>
        <w:rPr>
          <w:i/>
        </w:rPr>
        <w:t>w/cm</w:t>
      </w:r>
      <w:r>
        <w:t xml:space="preserve"> below 0.25, and almost always use silica fume as a SCM and HRWRA.  Concrete with design compressive strengths of 19,000 psi have been used in buildings (</w:t>
      </w:r>
      <w:r w:rsidR="006F6E9A">
        <w:t>Kosmatka, Kerkhoff, and Panarese</w:t>
      </w:r>
      <w:r>
        <w:t xml:space="preserve"> 2002).</w:t>
      </w:r>
    </w:p>
    <w:p w:rsidR="004774B9" w:rsidRPr="007466E6" w:rsidRDefault="004774B9" w:rsidP="005E11F5"/>
    <w:p w:rsidR="004774B9" w:rsidRDefault="004774B9" w:rsidP="00F12498">
      <w:pPr>
        <w:pStyle w:val="Heading4"/>
      </w:pPr>
      <w:bookmarkStart w:id="152" w:name="_Toc295918660"/>
      <w:r w:rsidRPr="00166EEB">
        <w:t>High-</w:t>
      </w:r>
      <w:r w:rsidR="00F12498">
        <w:t>E</w:t>
      </w:r>
      <w:r w:rsidRPr="00166EEB">
        <w:t xml:space="preserve">arly </w:t>
      </w:r>
      <w:r w:rsidR="00F12498">
        <w:t>S</w:t>
      </w:r>
      <w:r w:rsidRPr="00166EEB">
        <w:t>trength</w:t>
      </w:r>
      <w:r>
        <w:t xml:space="preserve"> </w:t>
      </w:r>
      <w:bookmarkEnd w:id="152"/>
      <w:r w:rsidR="00B55EC9">
        <w:t>Concrete</w:t>
      </w:r>
    </w:p>
    <w:p w:rsidR="004774B9" w:rsidRDefault="004774B9" w:rsidP="005E11F5">
      <w:r>
        <w:t xml:space="preserve">High-early strength </w:t>
      </w:r>
      <w:r w:rsidR="00B55EC9">
        <w:t>concrete</w:t>
      </w:r>
      <w:r>
        <w:t xml:space="preserve"> (also called fast-track concrete) is designed to gain strength quickly to allowed rapid stripping of formwork and/or return to service.  The two most common applications for high-early strength </w:t>
      </w:r>
      <w:r w:rsidR="00B55EC9">
        <w:t>concrete</w:t>
      </w:r>
      <w:r>
        <w:t xml:space="preserve"> is in precast concrete production and for repair materials.  Although cementitious systems exist that can achieve acceptable strength in minute, it is common when using conventional concrete making materials to achieve acceptable strength within a few hours.  This can be accomplished by using a Type III cement, high cement content (675 to 1000 lbs cement/yd</w:t>
      </w:r>
      <w:r>
        <w:rPr>
          <w:vertAlign w:val="superscript"/>
        </w:rPr>
        <w:t>3</w:t>
      </w:r>
      <w:r>
        <w:t xml:space="preserve"> concrete), low </w:t>
      </w:r>
      <w:r>
        <w:rPr>
          <w:i/>
        </w:rPr>
        <w:t>w/cm</w:t>
      </w:r>
      <w:r>
        <w:t xml:space="preserve"> (0.20 to 0.45), high concrete mixture and curing t</w:t>
      </w:r>
      <w:r w:rsidR="00F12498">
        <w:t>emperatures, and accelerators.</w:t>
      </w:r>
    </w:p>
    <w:p w:rsidR="004774B9" w:rsidRDefault="004774B9" w:rsidP="005E11F5"/>
    <w:p w:rsidR="004774B9" w:rsidRPr="00AC1DDE" w:rsidRDefault="004774B9" w:rsidP="005E11F5">
      <w:r>
        <w:t xml:space="preserve">Although strength can be achieved at an early age, high-early strength </w:t>
      </w:r>
      <w:r w:rsidR="00B55EC9">
        <w:t>concrete</w:t>
      </w:r>
      <w:r>
        <w:t xml:space="preserve"> mixtures can be difficult to work with and may suffer durability problems (</w:t>
      </w:r>
      <w:hyperlink r:id="rId95" w:history="1">
        <w:r w:rsidRPr="00C34073">
          <w:rPr>
            <w:rStyle w:val="Hyperlink"/>
          </w:rPr>
          <w:t>Van Dam et al. 2005</w:t>
        </w:r>
      </w:hyperlink>
      <w:r>
        <w:t>).  This is particularly true for mixtures designed for opening times of 8 hours or less.  It is therefore recommended that unless early opening time is absolutely essential that mixtures with opening times of one-day or more be used.</w:t>
      </w:r>
    </w:p>
    <w:p w:rsidR="004774B9" w:rsidRPr="007079F7" w:rsidRDefault="004774B9" w:rsidP="004774B9">
      <w:pPr>
        <w:adjustRightInd w:val="0"/>
        <w:rPr>
          <w:spacing w:val="-2"/>
        </w:rPr>
      </w:pPr>
    </w:p>
    <w:p w:rsidR="004774B9" w:rsidRDefault="004774B9" w:rsidP="00F12498">
      <w:pPr>
        <w:pStyle w:val="Heading4"/>
      </w:pPr>
      <w:bookmarkStart w:id="153" w:name="_Toc295918661"/>
      <w:r w:rsidRPr="00166EEB">
        <w:t>Pervious</w:t>
      </w:r>
      <w:r>
        <w:t xml:space="preserve"> </w:t>
      </w:r>
      <w:bookmarkEnd w:id="153"/>
      <w:r w:rsidR="00B55EC9">
        <w:t>Concrete</w:t>
      </w:r>
    </w:p>
    <w:p w:rsidR="004774B9" w:rsidRDefault="004774B9" w:rsidP="005E11F5">
      <w:r>
        <w:t>Pervious concrete has been used for decades as a base material beneath a conventional concrete surface.  Recently, considerable attention has been focused on creating pervious paved surfaces that will allow surface runoff to permeate through to underlying layers were it will be absorbed into the subgrade.  There are numerous economic and environmental advantages to using pervious surfaces in crowded urban areas including in-situ treatment of runoff, cooler pavement, land use savings through elimination of retention ponds, and even money savings incurred by not treating runoff that infiltrates into sanitary sewers (</w:t>
      </w:r>
      <w:hyperlink r:id="rId96" w:history="1">
        <w:r w:rsidRPr="00C34073">
          <w:rPr>
            <w:rStyle w:val="Hyperlink"/>
          </w:rPr>
          <w:t>Van Dam and Taylor 2009</w:t>
        </w:r>
      </w:hyperlink>
      <w:r>
        <w:t xml:space="preserve">).  </w:t>
      </w:r>
    </w:p>
    <w:p w:rsidR="004774B9" w:rsidRDefault="004774B9" w:rsidP="005E11F5"/>
    <w:p w:rsidR="004774B9" w:rsidRDefault="004774B9" w:rsidP="005E11F5">
      <w:r>
        <w:t xml:space="preserve">Pervious </w:t>
      </w:r>
      <w:r w:rsidR="00B55EC9">
        <w:t>concrete</w:t>
      </w:r>
      <w:r>
        <w:t xml:space="preserve"> requires that interconnected porosity be created, on the order of 20 percent or more.  This is typically accomplished by eliminating the fine aggregate and carefully controlling the grading of the coarse aggregate.  The </w:t>
      </w:r>
      <w:r>
        <w:rPr>
          <w:i/>
        </w:rPr>
        <w:t>w/cm</w:t>
      </w:r>
      <w:r>
        <w:t xml:space="preserve"> is typically between 0.27 and 0.30, requiring the use of retarders to control set.  AEA are also commonly used to help workability and provide resistance to damage from freezing and thawing.  Additional information is available at </w:t>
      </w:r>
      <w:r w:rsidRPr="00E5781D">
        <w:t>http://www.perviouspavement.org/</w:t>
      </w:r>
      <w:r>
        <w:t>.</w:t>
      </w:r>
    </w:p>
    <w:p w:rsidR="004774B9" w:rsidRPr="00333A64" w:rsidRDefault="004774B9" w:rsidP="004774B9">
      <w:pPr>
        <w:adjustRightInd w:val="0"/>
        <w:rPr>
          <w:spacing w:val="-2"/>
        </w:rPr>
      </w:pPr>
    </w:p>
    <w:p w:rsidR="004774B9" w:rsidRDefault="004774B9" w:rsidP="00F12498">
      <w:pPr>
        <w:pStyle w:val="Heading4"/>
      </w:pPr>
      <w:bookmarkStart w:id="154" w:name="_Toc295918662"/>
      <w:r>
        <w:t>Roller-</w:t>
      </w:r>
      <w:r w:rsidR="00F12498">
        <w:t>C</w:t>
      </w:r>
      <w:r>
        <w:t xml:space="preserve">ompacted </w:t>
      </w:r>
      <w:r w:rsidR="00F12498">
        <w:t>C</w:t>
      </w:r>
      <w:r>
        <w:t>oncrete</w:t>
      </w:r>
      <w:bookmarkEnd w:id="154"/>
    </w:p>
    <w:p w:rsidR="004774B9" w:rsidRDefault="004774B9" w:rsidP="005E11F5">
      <w:r>
        <w:t xml:space="preserve">Traditionally, roller-compacted concrete (RCC) was used for hydraulic structures such as dams and for pavements in cargo handling facilities.  Recently, interest in the use of roller compacted concrete for pavement construction, particular industrial or heavy-duty pavements, has grown, and there is a new guide available (Harrington et al. 2010).  What differentiates RCC pavements from traditional concrete pavements is the construction method.  RCC uses conventional or high-density asphalt paving equipment for placement and rollers for compaction.  Although the materials used are the same as for conventional concrete, the mixture is much drier.  Additional information is available at: </w:t>
      </w:r>
      <w:hyperlink r:id="rId97" w:history="1">
        <w:r w:rsidRPr="006F4A4D">
          <w:rPr>
            <w:rStyle w:val="Hyperlink"/>
            <w:spacing w:val="-2"/>
          </w:rPr>
          <w:t>http://www.cement.org/pavements/pv_rcc.asp</w:t>
        </w:r>
      </w:hyperlink>
      <w:r>
        <w:t>.</w:t>
      </w:r>
    </w:p>
    <w:p w:rsidR="004774B9" w:rsidRDefault="004774B9" w:rsidP="005E11F5"/>
    <w:p w:rsidR="004774B9" w:rsidRDefault="004774B9" w:rsidP="00F12498">
      <w:pPr>
        <w:pStyle w:val="Heading4"/>
      </w:pPr>
      <w:bookmarkStart w:id="155" w:name="_Toc295918663"/>
      <w:r>
        <w:t>Self-</w:t>
      </w:r>
      <w:r w:rsidR="00F12498">
        <w:t>C</w:t>
      </w:r>
      <w:r>
        <w:t xml:space="preserve">ompacting </w:t>
      </w:r>
      <w:r w:rsidR="00F12498">
        <w:t>C</w:t>
      </w:r>
      <w:r>
        <w:t>oncrete (SCC)</w:t>
      </w:r>
      <w:bookmarkEnd w:id="155"/>
    </w:p>
    <w:p w:rsidR="004774B9" w:rsidRDefault="004774B9" w:rsidP="005E11F5">
      <w:r>
        <w:t>Self-compacting concrete (SCC) is a relatively new type of concrete that does not require vibration for placement or consolidation.  It is designed to flow under its own weight, completely filling complex formwork and achieving full consolidation, even around congested reinforcement.  The hardened concrete has the same properties of conventional concrete.</w:t>
      </w:r>
    </w:p>
    <w:p w:rsidR="004774B9" w:rsidRDefault="004774B9" w:rsidP="005E11F5"/>
    <w:p w:rsidR="004774B9" w:rsidRDefault="004774B9" w:rsidP="005E11F5">
      <w:r>
        <w:t>The flowable nature of SCC is achieved through careful aggregate grading, high fines content, and the use of co-polymer HRWRA and viscosity-modifying admixture.</w:t>
      </w:r>
    </w:p>
    <w:p w:rsidR="0077603A" w:rsidRPr="008E3464" w:rsidRDefault="0077603A" w:rsidP="005E11F5"/>
    <w:p w:rsidR="004774B9" w:rsidRDefault="004774B9" w:rsidP="00F44501">
      <w:pPr>
        <w:pStyle w:val="Heading3"/>
      </w:pPr>
      <w:bookmarkStart w:id="156" w:name="_Toc295918664"/>
      <w:r>
        <w:t xml:space="preserve">Key </w:t>
      </w:r>
      <w:r w:rsidR="00F44501">
        <w:t>P</w:t>
      </w:r>
      <w:r>
        <w:t xml:space="preserve">roperties and </w:t>
      </w:r>
      <w:r w:rsidR="00F44501">
        <w:t>T</w:t>
      </w:r>
      <w:r>
        <w:t xml:space="preserve">est </w:t>
      </w:r>
      <w:r w:rsidR="00F44501">
        <w:t>M</w:t>
      </w:r>
      <w:r>
        <w:t xml:space="preserve">ethods for </w:t>
      </w:r>
      <w:r w:rsidR="00F44501">
        <w:t>F</w:t>
      </w:r>
      <w:r>
        <w:t xml:space="preserve">resh </w:t>
      </w:r>
      <w:bookmarkEnd w:id="156"/>
      <w:r w:rsidR="00B55EC9">
        <w:t>Concrete</w:t>
      </w:r>
    </w:p>
    <w:p w:rsidR="004774B9" w:rsidRDefault="00E05E2C" w:rsidP="004774B9">
      <w:pPr>
        <w:adjustRightInd w:val="0"/>
        <w:rPr>
          <w:spacing w:val="-2"/>
        </w:rPr>
      </w:pPr>
      <w:r>
        <w:rPr>
          <w:spacing w:val="-2"/>
        </w:rPr>
        <w:t xml:space="preserve">The following summarizes the key properties and test methods for fresh </w:t>
      </w:r>
      <w:r w:rsidR="00B55EC9">
        <w:rPr>
          <w:spacing w:val="-2"/>
        </w:rPr>
        <w:t>concrete</w:t>
      </w:r>
      <w:r>
        <w:rPr>
          <w:spacing w:val="-2"/>
        </w:rPr>
        <w:t>.  These include</w:t>
      </w:r>
      <w:r w:rsidR="00270505">
        <w:rPr>
          <w:spacing w:val="-2"/>
        </w:rPr>
        <w:t>: workability, air content, setting, and maturity.</w:t>
      </w:r>
    </w:p>
    <w:p w:rsidR="00F44501" w:rsidRDefault="00F44501" w:rsidP="004774B9">
      <w:pPr>
        <w:adjustRightInd w:val="0"/>
        <w:rPr>
          <w:spacing w:val="-2"/>
        </w:rPr>
      </w:pPr>
    </w:p>
    <w:p w:rsidR="004774B9" w:rsidRDefault="004774B9" w:rsidP="00F44501">
      <w:pPr>
        <w:pStyle w:val="Heading4"/>
      </w:pPr>
      <w:bookmarkStart w:id="157" w:name="_Toc295918665"/>
      <w:r>
        <w:t>Workability</w:t>
      </w:r>
      <w:bookmarkEnd w:id="157"/>
    </w:p>
    <w:p w:rsidR="004774B9" w:rsidRDefault="004774B9" w:rsidP="005E11F5">
      <w:r>
        <w:t xml:space="preserve">Workability is defined as the ease and homogeneity with which fresh concrete can be mixed, placed, compacted and finished.  Although considerable efforts have been expended to develop a better workability test, the slump test, as described in AASHTO T 119 (ASTM C143), </w:t>
      </w:r>
      <w:r>
        <w:rPr>
          <w:i/>
        </w:rPr>
        <w:t>Standard Method of Test for Slump of Hydraulic Cement Concrete</w:t>
      </w:r>
      <w:r>
        <w:t xml:space="preserve"> continues to be the most commonly specified and used test.</w:t>
      </w:r>
    </w:p>
    <w:p w:rsidR="004774B9" w:rsidRDefault="004774B9" w:rsidP="005E11F5"/>
    <w:p w:rsidR="004774B9" w:rsidRDefault="004774B9" w:rsidP="005E11F5">
      <w:r>
        <w:t>The slump test is valid for a range of results from 0.5</w:t>
      </w:r>
      <w:r w:rsidR="00583AC9">
        <w:t xml:space="preserve"> </w:t>
      </w:r>
      <w:r w:rsidR="00DF35C4">
        <w:t>in.</w:t>
      </w:r>
      <w:r w:rsidR="00583AC9">
        <w:t xml:space="preserve"> </w:t>
      </w:r>
      <w:r>
        <w:t xml:space="preserve">to 9 </w:t>
      </w:r>
      <w:r w:rsidR="00DF35C4">
        <w:t>in.</w:t>
      </w:r>
      <w:r>
        <w:t xml:space="preserve">, which covers all types of </w:t>
      </w:r>
      <w:r w:rsidR="00B55EC9">
        <w:t>concrete</w:t>
      </w:r>
      <w:r>
        <w:t xml:space="preserve"> except SCC.  Typical slump values differ with the type of application.  For example, for slipform concrete pavement, slump should be between 0.5 to 1.5 </w:t>
      </w:r>
      <w:r w:rsidR="00DF35C4">
        <w:t>in.</w:t>
      </w:r>
      <w:r>
        <w:t xml:space="preserve">, for fixed form paving from 1 to 3 </w:t>
      </w:r>
      <w:r w:rsidR="00DF35C4">
        <w:t>in.</w:t>
      </w:r>
      <w:r>
        <w:t xml:space="preserve">, for beams and columns, a slump of 3 to 4 </w:t>
      </w:r>
      <w:r w:rsidR="00DF35C4">
        <w:t>in.</w:t>
      </w:r>
      <w:r>
        <w:t xml:space="preserve"> is acceptable, and if the concrete is being pumped, slump may be as high as 7 </w:t>
      </w:r>
      <w:r w:rsidR="00DF35C4">
        <w:t>in.</w:t>
      </w:r>
      <w:r>
        <w:t xml:space="preserve"> or more.</w:t>
      </w:r>
    </w:p>
    <w:p w:rsidR="004774B9" w:rsidRDefault="004774B9" w:rsidP="005E11F5"/>
    <w:p w:rsidR="004774B9" w:rsidRDefault="004774B9" w:rsidP="005E11F5">
      <w:r>
        <w:t xml:space="preserve">One note on workability is that slump can be increased by adding water, but this is not acceptable if the water has not already been accounted for in the calculation of the </w:t>
      </w:r>
      <w:r>
        <w:rPr>
          <w:i/>
        </w:rPr>
        <w:t>w/cm</w:t>
      </w:r>
      <w:r w:rsidR="00F44501">
        <w:t>.</w:t>
      </w:r>
    </w:p>
    <w:p w:rsidR="004774B9" w:rsidRDefault="004774B9" w:rsidP="004774B9">
      <w:pPr>
        <w:tabs>
          <w:tab w:val="left" w:pos="1080"/>
        </w:tabs>
        <w:adjustRightInd w:val="0"/>
        <w:rPr>
          <w:spacing w:val="-2"/>
        </w:rPr>
      </w:pPr>
    </w:p>
    <w:p w:rsidR="004774B9" w:rsidRDefault="00F44501" w:rsidP="00F44501">
      <w:pPr>
        <w:pStyle w:val="Heading4"/>
      </w:pPr>
      <w:bookmarkStart w:id="158" w:name="_Toc295918666"/>
      <w:r>
        <w:t>Air Content</w:t>
      </w:r>
      <w:bookmarkEnd w:id="158"/>
    </w:p>
    <w:p w:rsidR="004774B9" w:rsidRDefault="004774B9" w:rsidP="005E11F5">
      <w:r>
        <w:t xml:space="preserve">As discussed, air is entrained in </w:t>
      </w:r>
      <w:r w:rsidR="00B55EC9">
        <w:t>concrete</w:t>
      </w:r>
      <w:r>
        <w:t xml:space="preserve"> to protect it against damage from freezing and thawing in a saturated state.  It is common to measure the total air content of </w:t>
      </w:r>
      <w:r w:rsidR="00B55EC9">
        <w:t>concrete</w:t>
      </w:r>
      <w:r>
        <w:t xml:space="preserve"> using one of the following three methods:</w:t>
      </w:r>
    </w:p>
    <w:p w:rsidR="004774B9" w:rsidRDefault="004774B9" w:rsidP="005E11F5"/>
    <w:p w:rsidR="004774B9" w:rsidRDefault="004774B9" w:rsidP="005B140A">
      <w:pPr>
        <w:pStyle w:val="ListParagraph"/>
        <w:numPr>
          <w:ilvl w:val="0"/>
          <w:numId w:val="15"/>
        </w:numPr>
        <w:tabs>
          <w:tab w:val="left" w:pos="720"/>
        </w:tabs>
        <w:adjustRightInd w:val="0"/>
        <w:ind w:left="720"/>
        <w:rPr>
          <w:spacing w:val="-2"/>
        </w:rPr>
      </w:pPr>
      <w:r>
        <w:rPr>
          <w:spacing w:val="-2"/>
        </w:rPr>
        <w:t xml:space="preserve">AASHTO T 152 (ASTM C231), </w:t>
      </w:r>
      <w:r>
        <w:rPr>
          <w:i/>
          <w:spacing w:val="-2"/>
        </w:rPr>
        <w:t>Standard Method of Test for Air Content of Freshly Mixed Concrete by the Pressure Method</w:t>
      </w:r>
      <w:r>
        <w:rPr>
          <w:spacing w:val="-2"/>
        </w:rPr>
        <w:t xml:space="preserve"> – Most common method for measuring air content of fresh concrete, being applicable to dense, normal-weight aggregates with the appropriate aggregate correction factor.</w:t>
      </w:r>
    </w:p>
    <w:p w:rsidR="004774B9" w:rsidRDefault="004774B9" w:rsidP="005B140A">
      <w:pPr>
        <w:pStyle w:val="ListParagraph"/>
        <w:numPr>
          <w:ilvl w:val="0"/>
          <w:numId w:val="15"/>
        </w:numPr>
        <w:tabs>
          <w:tab w:val="left" w:pos="720"/>
        </w:tabs>
        <w:adjustRightInd w:val="0"/>
        <w:ind w:left="720"/>
        <w:rPr>
          <w:spacing w:val="-2"/>
        </w:rPr>
      </w:pPr>
      <w:r>
        <w:rPr>
          <w:spacing w:val="-2"/>
        </w:rPr>
        <w:t xml:space="preserve">AASHTO T 196 (ASTM C173), </w:t>
      </w:r>
      <w:r>
        <w:rPr>
          <w:i/>
          <w:spacing w:val="-2"/>
        </w:rPr>
        <w:t>Standard Method of Test for Air Content of Freshly Mixed Concrete by the Volumetric Method</w:t>
      </w:r>
      <w:r>
        <w:rPr>
          <w:spacing w:val="-2"/>
        </w:rPr>
        <w:t xml:space="preserve"> – This method, also known as the Rollometer, can be used with dense, cellular, and lightweight aggregates.  It is physically demanding and is thus not often used with normal weight aggregates.</w:t>
      </w:r>
    </w:p>
    <w:p w:rsidR="004774B9" w:rsidRDefault="004774B9" w:rsidP="005B140A">
      <w:pPr>
        <w:pStyle w:val="ListParagraph"/>
        <w:numPr>
          <w:ilvl w:val="0"/>
          <w:numId w:val="15"/>
        </w:numPr>
        <w:tabs>
          <w:tab w:val="left" w:pos="720"/>
        </w:tabs>
        <w:adjustRightInd w:val="0"/>
        <w:ind w:left="720"/>
        <w:rPr>
          <w:spacing w:val="-2"/>
        </w:rPr>
      </w:pPr>
      <w:r>
        <w:rPr>
          <w:spacing w:val="-2"/>
        </w:rPr>
        <w:t xml:space="preserve">AASHTO T 121 (ASTM C138), </w:t>
      </w:r>
      <w:r>
        <w:rPr>
          <w:i/>
          <w:spacing w:val="-2"/>
        </w:rPr>
        <w:t>Standard Method of Test for Density (Unit Weight), Yield, and Air Content (Gravimetric) of Concrete</w:t>
      </w:r>
      <w:r>
        <w:rPr>
          <w:spacing w:val="-2"/>
        </w:rPr>
        <w:t xml:space="preserve"> – This method requires that the specific gravity of the constituents are known.  It is useful because the determination and plotting of unit weight is useful in tracking the uniformity </w:t>
      </w:r>
      <w:r w:rsidR="007543E3">
        <w:rPr>
          <w:spacing w:val="-2"/>
        </w:rPr>
        <w:t>of</w:t>
      </w:r>
      <w:r>
        <w:rPr>
          <w:spacing w:val="-2"/>
        </w:rPr>
        <w:t xml:space="preserve"> the project.</w:t>
      </w:r>
    </w:p>
    <w:p w:rsidR="004774B9" w:rsidRDefault="004774B9" w:rsidP="004774B9">
      <w:pPr>
        <w:tabs>
          <w:tab w:val="left" w:pos="720"/>
          <w:tab w:val="left" w:pos="1080"/>
        </w:tabs>
        <w:adjustRightInd w:val="0"/>
        <w:rPr>
          <w:spacing w:val="-2"/>
        </w:rPr>
      </w:pPr>
    </w:p>
    <w:p w:rsidR="004774B9" w:rsidRDefault="004774B9" w:rsidP="005E11F5">
      <w:r>
        <w:t xml:space="preserve">The tests listed above are limited in that they only report total air and do not provide </w:t>
      </w:r>
      <w:r w:rsidR="007543E3">
        <w:t>an</w:t>
      </w:r>
      <w:r>
        <w:t xml:space="preserve"> indication of how the air is distributed.  Currently, there is no standard test of fresh concrete to determine the air-void system parameters, but the air-void analyzer (AVA) has shown promise.  The principle behind the AVA is Stokes’ law, in which air bubbles rise from a sample of the </w:t>
      </w:r>
      <w:r w:rsidR="00B55EC9">
        <w:t>concrete</w:t>
      </w:r>
      <w:r>
        <w:t xml:space="preserve"> through a viscous liquid, larger bubbles rising faster than smaller bubbles.  The bubbles are captured on a plate mounted to a scale, and the change in buoyancy is used to calculate and air void distribution.  Although work with the AVA has been promising, problems with repeatability are still being worked out.</w:t>
      </w:r>
    </w:p>
    <w:p w:rsidR="0077603A" w:rsidRDefault="0077603A" w:rsidP="005E11F5"/>
    <w:p w:rsidR="004774B9" w:rsidRDefault="004774B9" w:rsidP="00F44501">
      <w:pPr>
        <w:pStyle w:val="Heading4"/>
      </w:pPr>
      <w:bookmarkStart w:id="159" w:name="_Toc295918667"/>
      <w:r>
        <w:t>Setting</w:t>
      </w:r>
      <w:bookmarkEnd w:id="159"/>
    </w:p>
    <w:p w:rsidR="004774B9" w:rsidRDefault="004774B9" w:rsidP="005E11F5">
      <w:r>
        <w:t>The time to initial and final set are important parameters that affect the construction process.  Initial set is roughly when the concrete can no longer be worked or handled and final set occurs around the time mechanical strength develops.  This is important from a practical perspective as the concrete must be placed and finished before initial set, and in the case of jointed pavements, sawcutting the joints must commence shortly after final set.</w:t>
      </w:r>
    </w:p>
    <w:p w:rsidR="004774B9" w:rsidRDefault="004774B9" w:rsidP="005E11F5"/>
    <w:p w:rsidR="004774B9" w:rsidRDefault="004774B9" w:rsidP="005E11F5">
      <w:r>
        <w:t xml:space="preserve">Setting time is influenced by many factors including the </w:t>
      </w:r>
      <w:r>
        <w:rPr>
          <w:i/>
        </w:rPr>
        <w:t>w/cm</w:t>
      </w:r>
      <w:r>
        <w:t>, cement content, cement type, chemical admixtures, timing of the addition of admixtures, mixing, and the type and content of SCMs.  The ambient temperature is also a critical factor, with setting accelerating as temperature increases.</w:t>
      </w:r>
    </w:p>
    <w:p w:rsidR="004774B9" w:rsidRDefault="004774B9" w:rsidP="005E11F5"/>
    <w:p w:rsidR="004774B9" w:rsidRDefault="003D5DBC" w:rsidP="005E11F5">
      <w:r>
        <w:t>C</w:t>
      </w:r>
      <w:r w:rsidR="00B55EC9">
        <w:t>oncrete</w:t>
      </w:r>
      <w:r w:rsidR="004774B9">
        <w:t xml:space="preserve"> setting is determined using AASHTO T 197 (ASTM C403), </w:t>
      </w:r>
      <w:r w:rsidR="004774B9">
        <w:rPr>
          <w:i/>
        </w:rPr>
        <w:t>Standard Method of Test for Time of Setting of Concrete Mixtures by Penetration Resistance.</w:t>
      </w:r>
      <w:r w:rsidR="004774B9">
        <w:t xml:space="preserve">  In this test, a standard needle is pushed into the mortar and the penetration resistance is recorded.  Initial and final set are arbitrarily established to occur when penetration resistance is equal to 500 psi and 4000 psi, respectively.</w:t>
      </w:r>
    </w:p>
    <w:p w:rsidR="004774B9" w:rsidRDefault="004774B9" w:rsidP="005E11F5"/>
    <w:p w:rsidR="004774B9" w:rsidRDefault="004774B9" w:rsidP="00F44501">
      <w:pPr>
        <w:pStyle w:val="Heading4"/>
      </w:pPr>
      <w:bookmarkStart w:id="160" w:name="_Toc295918668"/>
      <w:r>
        <w:t xml:space="preserve">Maturity </w:t>
      </w:r>
      <w:r w:rsidR="00F44501">
        <w:t>Testing and T</w:t>
      </w:r>
      <w:r>
        <w:t xml:space="preserve">emperature </w:t>
      </w:r>
      <w:r w:rsidR="00F44501">
        <w:t>M</w:t>
      </w:r>
      <w:r>
        <w:t>onitoring</w:t>
      </w:r>
      <w:bookmarkEnd w:id="160"/>
    </w:p>
    <w:p w:rsidR="004774B9" w:rsidRDefault="004774B9" w:rsidP="00F44501">
      <w:pPr>
        <w:pStyle w:val="Heading5"/>
      </w:pPr>
      <w:r>
        <w:t xml:space="preserve">Maturity </w:t>
      </w:r>
      <w:r w:rsidR="00F44501">
        <w:t>T</w:t>
      </w:r>
      <w:r>
        <w:t>esting</w:t>
      </w:r>
    </w:p>
    <w:p w:rsidR="004774B9" w:rsidRPr="009D1282" w:rsidRDefault="004774B9" w:rsidP="005E11F5">
      <w:r>
        <w:t xml:space="preserve">The hydration of portland cement and SCMs is an exothermic reaction, meaning that heat is generated as hydration progresses.  The correlation between the heat generated and strength gain is extremely strong for a given concrete mixture, and thus the measurement of temperature is a reasonable surrogate for measuring strength gain.  Armed with this knowledge, the maturity concept was developed and standardized for laboratory specimens as described in ASTM C918, </w:t>
      </w:r>
      <w:r>
        <w:rPr>
          <w:i/>
        </w:rPr>
        <w:t>Standard Test Method for Measuring Early-Age Compressive Strength and Projecting Later-Age Strength.</w:t>
      </w:r>
      <w:r>
        <w:t xml:space="preserve">  ASTM C1074, </w:t>
      </w:r>
      <w:r>
        <w:rPr>
          <w:i/>
        </w:rPr>
        <w:t>Standard Practice for Estimating Strength by the Maturity Method</w:t>
      </w:r>
      <w:r>
        <w:t>, is used to estimate in-place concrete strength from a calculate maturity index.</w:t>
      </w:r>
    </w:p>
    <w:p w:rsidR="004774B9" w:rsidRDefault="004774B9" w:rsidP="005E11F5"/>
    <w:p w:rsidR="004774B9" w:rsidRDefault="004774B9" w:rsidP="005E11F5">
      <w:r>
        <w:t xml:space="preserve">Maturity testing is well suited both for mixture design and field monitoring.  Based on the method, a maturity function is developed that considers the combined effects of time and temperature on the development of </w:t>
      </w:r>
      <w:r w:rsidR="00B55EC9">
        <w:t>concrete</w:t>
      </w:r>
      <w:r>
        <w:t xml:space="preserve"> strength.  Temperature probes are embedded in the concrete, whether a laboratory cast specimen or a slab in the field, and temperature over time are recorded.  Commercially available systems are readily available and wireless embedded sensors are emerging to facilitate field data collection.</w:t>
      </w:r>
    </w:p>
    <w:p w:rsidR="004774B9" w:rsidRDefault="004774B9" w:rsidP="005E11F5"/>
    <w:p w:rsidR="004774B9" w:rsidRDefault="004774B9" w:rsidP="00F44501">
      <w:pPr>
        <w:pStyle w:val="Heading5"/>
      </w:pPr>
      <w:r>
        <w:t>Calorimetry</w:t>
      </w:r>
    </w:p>
    <w:p w:rsidR="004774B9" w:rsidRDefault="004774B9" w:rsidP="005E11F5">
      <w:r>
        <w:t xml:space="preserve">To more deeply understand hydration kinetics of hydraulic cements requires a more complex testing system than maturity.  ASTM C1679, </w:t>
      </w:r>
      <w:r>
        <w:rPr>
          <w:i/>
        </w:rPr>
        <w:t>Standard Practice for Measuring Hydration Kinetics of Hydraulic Cementitious Mixtures Using Isothermal Calorimetry</w:t>
      </w:r>
      <w:r>
        <w:t xml:space="preserve"> is used to generate hydration profiles that provide indications relative to setting characteristics, compatibility of different materials, sulfate balance and early strength development.  Primarily a research tool, the more frequent use of isothermal calorimetry is helping expand the basic understand of hydraulic cementitious kinetics.</w:t>
      </w:r>
    </w:p>
    <w:p w:rsidR="0077603A" w:rsidRDefault="0077603A" w:rsidP="005E11F5"/>
    <w:p w:rsidR="004774B9" w:rsidRPr="006132B7" w:rsidRDefault="004774B9" w:rsidP="005E11F5">
      <w:r>
        <w:t xml:space="preserve">Adiabatic calorimetry is a simpler approach to studying hydration kinetics, and thus the equipment is considerably less expensive than an isothermal calorimeter.  In this method, the fresh concrete is simply insulated and the temperature rise recorded.  The method is described in the Army Corps Method CRD-C38, </w:t>
      </w:r>
      <w:r>
        <w:rPr>
          <w:i/>
        </w:rPr>
        <w:t>Method of Test for Temperature Rise in Concrete.</w:t>
      </w:r>
      <w:r>
        <w:t xml:space="preserve">  Although not as accurate as isothermal calorimetry, commercial adiabatic calorimeters </w:t>
      </w:r>
      <w:r w:rsidRPr="00E5271D">
        <w:t>are</w:t>
      </w:r>
      <w:r>
        <w:t xml:space="preserve"> available and the results can be readily interpreted to determine if a change in materials may pose an incompatibility issue. </w:t>
      </w:r>
    </w:p>
    <w:p w:rsidR="004774B9" w:rsidRDefault="004774B9" w:rsidP="004774B9">
      <w:pPr>
        <w:rPr>
          <w:spacing w:val="-2"/>
        </w:rPr>
      </w:pPr>
    </w:p>
    <w:p w:rsidR="004774B9" w:rsidRDefault="004774B9" w:rsidP="00F00432">
      <w:pPr>
        <w:pStyle w:val="Heading3"/>
      </w:pPr>
      <w:bookmarkStart w:id="161" w:name="_Toc295918669"/>
      <w:r>
        <w:t xml:space="preserve">Key </w:t>
      </w:r>
      <w:r w:rsidR="00F00432">
        <w:t>P</w:t>
      </w:r>
      <w:r>
        <w:t xml:space="preserve">roperties and </w:t>
      </w:r>
      <w:r w:rsidR="00F00432">
        <w:t>T</w:t>
      </w:r>
      <w:r>
        <w:t xml:space="preserve">est </w:t>
      </w:r>
      <w:r w:rsidR="00F00432">
        <w:t>M</w:t>
      </w:r>
      <w:r>
        <w:t xml:space="preserve">ethods for </w:t>
      </w:r>
      <w:r w:rsidR="00F00432">
        <w:t>H</w:t>
      </w:r>
      <w:r>
        <w:t xml:space="preserve">ardened </w:t>
      </w:r>
      <w:bookmarkEnd w:id="161"/>
      <w:r w:rsidR="00B55EC9">
        <w:t>Concrete</w:t>
      </w:r>
    </w:p>
    <w:p w:rsidR="00270505" w:rsidRDefault="00270505" w:rsidP="00270505">
      <w:r>
        <w:t xml:space="preserve">The key properties and testing methods for hardened </w:t>
      </w:r>
      <w:r w:rsidR="00B55EC9">
        <w:t>concrete</w:t>
      </w:r>
      <w:r>
        <w:t xml:space="preserve"> are summarized below and include strength, modulus of elasticity, Poisson’s ratio, coefficient of thermal expansion, shrinkage, permeability, and durability.</w:t>
      </w:r>
    </w:p>
    <w:p w:rsidR="00270505" w:rsidRPr="00270505" w:rsidRDefault="00270505" w:rsidP="00270505"/>
    <w:p w:rsidR="004774B9" w:rsidRDefault="004774B9" w:rsidP="00F00432">
      <w:pPr>
        <w:pStyle w:val="Heading4"/>
      </w:pPr>
      <w:bookmarkStart w:id="162" w:name="_Toc295918670"/>
      <w:r>
        <w:t>Strength</w:t>
      </w:r>
      <w:bookmarkEnd w:id="162"/>
    </w:p>
    <w:p w:rsidR="004774B9" w:rsidRDefault="004774B9" w:rsidP="005E11F5">
      <w:r>
        <w:t xml:space="preserve">Strength is the most commonly discussed </w:t>
      </w:r>
      <w:r w:rsidR="00B55EC9">
        <w:t>concrete</w:t>
      </w:r>
      <w:r>
        <w:t xml:space="preserve"> property, although it is widely acknowledge</w:t>
      </w:r>
      <w:r w:rsidR="003D5DBC">
        <w:t>d</w:t>
      </w:r>
      <w:r>
        <w:t xml:space="preserve"> that it is only one of many properties that need to be considered.  Regardless, many </w:t>
      </w:r>
      <w:r w:rsidR="00B55EC9">
        <w:t>concrete</w:t>
      </w:r>
      <w:r>
        <w:t xml:space="preserve"> mixtures are ordered by strength alone, primarily because concrete strength is a key structural design input whether designing bridges or pavements.  The three types of strength typically considered are compressive, flexural, and split tensile.</w:t>
      </w:r>
    </w:p>
    <w:p w:rsidR="004774B9" w:rsidRDefault="004774B9" w:rsidP="005E11F5"/>
    <w:p w:rsidR="004774B9" w:rsidRDefault="004774B9" w:rsidP="00F00432">
      <w:pPr>
        <w:pStyle w:val="Heading5"/>
      </w:pPr>
      <w:r>
        <w:t xml:space="preserve">Compressive </w:t>
      </w:r>
      <w:r w:rsidR="00F00432">
        <w:t>S</w:t>
      </w:r>
      <w:r>
        <w:t>trength</w:t>
      </w:r>
    </w:p>
    <w:p w:rsidR="004774B9" w:rsidRDefault="004774B9" w:rsidP="005E11F5">
      <w:r>
        <w:t xml:space="preserve">The compressive strength of </w:t>
      </w:r>
      <w:r w:rsidR="00B55EC9">
        <w:t>concrete</w:t>
      </w:r>
      <w:r>
        <w:t xml:space="preserve"> is almost universally used as an indicator of concrete quality, although other parameters must also be considered.  Typical </w:t>
      </w:r>
      <w:r w:rsidR="00B55EC9">
        <w:t>concrete</w:t>
      </w:r>
      <w:r>
        <w:t xml:space="preserve"> used in transportation infrastructure has 28-day compressive strength that varies from 3500 psi to 6000 psi, but higher values are not uncommon.  The standard method of determining the compressive strength involves specimen preparation, curing, and compression testing of cylindrical specimens obtained either from molded cylinders made from fresh concrete or cores retrieved from hardened </w:t>
      </w:r>
      <w:r w:rsidR="00B55EC9">
        <w:t>concrete</w:t>
      </w:r>
      <w:r>
        <w:t xml:space="preserve">.  Specimens should be at least 4 </w:t>
      </w:r>
      <w:r w:rsidR="00DF35C4">
        <w:t>in.</w:t>
      </w:r>
      <w:r>
        <w:t xml:space="preserve"> in diameter and should have a length-to-width ratio of two (e.g., a 4-in diameter core should be 8</w:t>
      </w:r>
      <w:r w:rsidR="00583AC9">
        <w:t xml:space="preserve"> </w:t>
      </w:r>
      <w:r w:rsidR="00DF35C4">
        <w:t>in.</w:t>
      </w:r>
      <w:r w:rsidR="00583AC9">
        <w:t xml:space="preserve"> </w:t>
      </w:r>
      <w:r>
        <w:t>long), although adjustments are available if the length-to-width r</w:t>
      </w:r>
      <w:r w:rsidR="00F00432">
        <w:t>atio varies slightly from two.</w:t>
      </w:r>
    </w:p>
    <w:p w:rsidR="004774B9" w:rsidRDefault="004774B9" w:rsidP="005E11F5"/>
    <w:p w:rsidR="004774B9" w:rsidRDefault="004774B9" w:rsidP="005E11F5">
      <w:r>
        <w:t xml:space="preserve">The standard method of compression testing is performed according to AASHTO T 22 (ASTM C39), </w:t>
      </w:r>
      <w:r>
        <w:rPr>
          <w:i/>
        </w:rPr>
        <w:t>Standard Method of Test for Compressive Strength of Cylindrical Concrete Specimens</w:t>
      </w:r>
      <w:r>
        <w:t>.  In this test, the specimen is first capped to provide a uniform top and bottom surface and then placed into a universal testing machine that loads the specimen in uniaxial compression (see</w:t>
      </w:r>
      <w:r w:rsidR="00AA7638">
        <w:t xml:space="preserve"> Figure 3-25</w:t>
      </w:r>
      <w:r>
        <w:t>).</w:t>
      </w:r>
      <w:r w:rsidR="0069112D">
        <w:t xml:space="preserve">  </w:t>
      </w:r>
      <w:r w:rsidR="0069112D" w:rsidRPr="0069112D">
        <w:rPr>
          <w:color w:val="FF0000"/>
        </w:rPr>
        <w:t>Note that capping may not be required by some laboratories if the cylinder is perpendicular.</w:t>
      </w:r>
      <w:r w:rsidR="0069112D">
        <w:t xml:space="preserve"> </w:t>
      </w:r>
      <w:r>
        <w:t>The load is applied at the rate of 20 to 50 psi per second until the specimen fails.  The maximum load sustained by the specimen is used to calculate its compressive strength.</w:t>
      </w:r>
      <w:r w:rsidR="00C764FA">
        <w:t xml:space="preserve">  Compressive strength is calculated using the </w:t>
      </w:r>
      <w:r w:rsidR="00C764FA" w:rsidRPr="00C764FA">
        <w:t>following equation.</w:t>
      </w:r>
    </w:p>
    <w:p w:rsidR="00C764FA" w:rsidRDefault="00C764FA" w:rsidP="005E11F5"/>
    <w:p w:rsidR="00C764FA" w:rsidRPr="001B5750" w:rsidRDefault="00C764FA" w:rsidP="00C764FA">
      <w:pPr>
        <w:tabs>
          <w:tab w:val="center" w:pos="4680"/>
          <w:tab w:val="right" w:pos="9360"/>
        </w:tabs>
        <w:rPr>
          <w:rFonts w:eastAsiaTheme="minorEastAsia"/>
          <w:szCs w:val="24"/>
        </w:rPr>
      </w:pPr>
      <w:r>
        <w:rPr>
          <w:szCs w:val="24"/>
        </w:rPr>
        <w:tab/>
      </w:r>
      <m:oMath>
        <m:sSubSup>
          <m:sSubSupPr>
            <m:ctrlPr>
              <w:rPr>
                <w:rFonts w:ascii="Cambria Math" w:eastAsiaTheme="minorEastAsia" w:hAnsi="Cambria Math" w:cstheme="minorBidi"/>
                <w:i/>
                <w:sz w:val="28"/>
                <w:szCs w:val="28"/>
              </w:rPr>
            </m:ctrlPr>
          </m:sSubSupPr>
          <m:e>
            <m:r>
              <w:rPr>
                <w:rFonts w:ascii="Cambria Math" w:eastAsiaTheme="minorEastAsia" w:hAnsi="Cambria Math" w:cstheme="minorBidi"/>
                <w:sz w:val="28"/>
                <w:szCs w:val="28"/>
              </w:rPr>
              <m:t>f</m:t>
            </m:r>
          </m:e>
          <m:sub>
            <m:r>
              <w:rPr>
                <w:rFonts w:ascii="Cambria Math" w:eastAsiaTheme="minorEastAsia" w:hAnsi="Cambria Math" w:cstheme="minorBidi"/>
                <w:sz w:val="28"/>
                <w:szCs w:val="28"/>
              </w:rPr>
              <m:t>c</m:t>
            </m:r>
          </m:sub>
          <m:sup>
            <m:r>
              <w:rPr>
                <w:rFonts w:ascii="Cambria Math" w:eastAsiaTheme="minorEastAsia" w:hAnsi="Cambria Math" w:cstheme="minorBidi"/>
                <w:sz w:val="28"/>
                <w:szCs w:val="28"/>
              </w:rPr>
              <m:t>'</m:t>
            </m:r>
          </m:sup>
        </m:sSub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P</m:t>
            </m:r>
          </m:num>
          <m:den>
            <m:r>
              <w:rPr>
                <w:rFonts w:ascii="Cambria Math" w:hAnsi="Cambria Math"/>
                <w:sz w:val="28"/>
                <w:szCs w:val="28"/>
              </w:rPr>
              <m:t>Area</m:t>
            </m:r>
          </m:den>
        </m:f>
      </m:oMath>
      <w:r w:rsidRPr="001B5750">
        <w:rPr>
          <w:rFonts w:ascii="Arial" w:eastAsiaTheme="minorEastAsia" w:hAnsi="Arial" w:cstheme="minorBidi"/>
          <w:i/>
          <w:szCs w:val="24"/>
        </w:rPr>
        <w:tab/>
      </w:r>
      <w:r w:rsidRPr="001B5750">
        <w:rPr>
          <w:rFonts w:eastAsiaTheme="minorEastAsia"/>
          <w:szCs w:val="24"/>
        </w:rPr>
        <w:t>(</w:t>
      </w:r>
      <w:r>
        <w:rPr>
          <w:szCs w:val="24"/>
        </w:rPr>
        <w:t>3-</w:t>
      </w:r>
      <w:r>
        <w:rPr>
          <w:rFonts w:eastAsiaTheme="minorEastAsia"/>
          <w:szCs w:val="24"/>
        </w:rPr>
        <w:t>21</w:t>
      </w:r>
      <w:r w:rsidRPr="001B5750">
        <w:rPr>
          <w:rFonts w:eastAsiaTheme="minorEastAsia"/>
          <w:szCs w:val="24"/>
        </w:rPr>
        <w:t>)</w:t>
      </w:r>
    </w:p>
    <w:p w:rsidR="00C764FA" w:rsidRPr="001B5750" w:rsidRDefault="00C764FA" w:rsidP="00C764FA">
      <w:pPr>
        <w:spacing w:before="120" w:after="120"/>
        <w:rPr>
          <w:szCs w:val="24"/>
        </w:rPr>
      </w:pPr>
      <w:r w:rsidRPr="001B5750">
        <w:rPr>
          <w:szCs w:val="24"/>
        </w:rPr>
        <w:t>where:</w:t>
      </w:r>
    </w:p>
    <w:p w:rsidR="00C764FA" w:rsidRDefault="00C764FA" w:rsidP="00C764FA">
      <w:pPr>
        <w:tabs>
          <w:tab w:val="right" w:pos="1080"/>
          <w:tab w:val="left" w:pos="1440"/>
          <w:tab w:val="left" w:pos="1800"/>
        </w:tabs>
        <w:ind w:left="1800" w:hanging="1800"/>
        <w:rPr>
          <w:szCs w:val="24"/>
        </w:rPr>
      </w:pPr>
      <w:r w:rsidRPr="001B5750">
        <w:rPr>
          <w:i/>
          <w:szCs w:val="24"/>
        </w:rPr>
        <w:tab/>
        <w:t>f’</w:t>
      </w:r>
      <w:r>
        <w:rPr>
          <w:i/>
          <w:szCs w:val="24"/>
        </w:rPr>
        <w:t>c</w:t>
      </w:r>
      <w:r>
        <w:rPr>
          <w:i/>
          <w:szCs w:val="24"/>
        </w:rPr>
        <w:tab/>
      </w:r>
      <w:r w:rsidRPr="001B5750">
        <w:rPr>
          <w:i/>
          <w:szCs w:val="24"/>
        </w:rPr>
        <w:t>=</w:t>
      </w:r>
      <w:r>
        <w:rPr>
          <w:i/>
          <w:szCs w:val="24"/>
        </w:rPr>
        <w:tab/>
      </w:r>
      <w:r w:rsidRPr="001B5750">
        <w:rPr>
          <w:szCs w:val="24"/>
        </w:rPr>
        <w:t>Compressive strength,</w:t>
      </w:r>
      <w:r>
        <w:rPr>
          <w:szCs w:val="24"/>
        </w:rPr>
        <w:t xml:space="preserve"> psi</w:t>
      </w:r>
    </w:p>
    <w:p w:rsidR="00EB59E6" w:rsidRDefault="00EB59E6" w:rsidP="00C764FA">
      <w:pPr>
        <w:tabs>
          <w:tab w:val="right" w:pos="1080"/>
          <w:tab w:val="left" w:pos="1440"/>
          <w:tab w:val="left" w:pos="1800"/>
        </w:tabs>
        <w:ind w:left="1800" w:hanging="1800"/>
        <w:rPr>
          <w:szCs w:val="24"/>
        </w:rPr>
      </w:pPr>
      <w:r>
        <w:rPr>
          <w:i/>
          <w:szCs w:val="24"/>
        </w:rPr>
        <w:tab/>
      </w:r>
      <w:r w:rsidR="00904271">
        <w:rPr>
          <w:i/>
          <w:szCs w:val="24"/>
        </w:rPr>
        <w:t>P</w:t>
      </w:r>
      <w:r w:rsidRPr="00EB59E6">
        <w:rPr>
          <w:szCs w:val="24"/>
        </w:rPr>
        <w:tab/>
        <w:t>=</w:t>
      </w:r>
      <w:r w:rsidRPr="00EB59E6">
        <w:rPr>
          <w:szCs w:val="24"/>
        </w:rPr>
        <w:tab/>
      </w:r>
      <w:r>
        <w:rPr>
          <w:szCs w:val="24"/>
        </w:rPr>
        <w:t>Maximum a</w:t>
      </w:r>
      <w:r w:rsidRPr="00EB59E6">
        <w:rPr>
          <w:szCs w:val="24"/>
        </w:rPr>
        <w:t>pplied</w:t>
      </w:r>
      <w:r>
        <w:rPr>
          <w:szCs w:val="24"/>
        </w:rPr>
        <w:t xml:space="preserve"> load, lbs</w:t>
      </w:r>
    </w:p>
    <w:p w:rsidR="00EB59E6" w:rsidRPr="00EB59E6" w:rsidRDefault="00EB59E6" w:rsidP="00C764FA">
      <w:pPr>
        <w:tabs>
          <w:tab w:val="right" w:pos="1080"/>
          <w:tab w:val="left" w:pos="1440"/>
          <w:tab w:val="left" w:pos="1800"/>
        </w:tabs>
        <w:ind w:left="1800" w:hanging="1800"/>
        <w:rPr>
          <w:szCs w:val="24"/>
        </w:rPr>
      </w:pPr>
      <w:r>
        <w:rPr>
          <w:i/>
          <w:szCs w:val="24"/>
        </w:rPr>
        <w:tab/>
        <w:t>Area</w:t>
      </w:r>
      <w:r w:rsidRPr="00EB59E6">
        <w:rPr>
          <w:szCs w:val="24"/>
        </w:rPr>
        <w:tab/>
      </w:r>
      <w:r>
        <w:rPr>
          <w:szCs w:val="24"/>
        </w:rPr>
        <w:t>=</w:t>
      </w:r>
      <w:r>
        <w:rPr>
          <w:szCs w:val="24"/>
        </w:rPr>
        <w:tab/>
        <w:t>Cross-sectional area, in</w:t>
      </w:r>
      <w:r w:rsidRPr="00EB59E6">
        <w:rPr>
          <w:szCs w:val="24"/>
          <w:vertAlign w:val="superscript"/>
        </w:rPr>
        <w:t>2</w:t>
      </w:r>
    </w:p>
    <w:p w:rsidR="004774B9" w:rsidRDefault="004774B9" w:rsidP="005E11F5"/>
    <w:p w:rsidR="00F504C5" w:rsidRDefault="00F504C5" w:rsidP="00F504C5">
      <w:r>
        <w:t>Depending on the specifications, a concrete cylinder may be tested at different times during the curing process.  Almost always, the 28-day compressive strength is determined as this is used in many specifications as well as in most structural and pavement design methods.  In addition, strength testing might be conducted within 24 hours or sooner for high-early strength concrete applications, and at 56 days or later for large placements with high volumes of SCMs.</w:t>
      </w:r>
    </w:p>
    <w:p w:rsidR="00F504C5" w:rsidRDefault="00F504C5" w:rsidP="00F504C5"/>
    <w:p w:rsidR="00F504C5" w:rsidRDefault="00F504C5" w:rsidP="00F504C5">
      <w:r>
        <w:t>This test is relatively easy to conduct and is an established test with a long history of use for concrete strength assessment.</w:t>
      </w:r>
    </w:p>
    <w:p w:rsidR="00F504C5" w:rsidRDefault="00F504C5" w:rsidP="005E11F5"/>
    <w:p w:rsidR="00F00432" w:rsidRDefault="00FF2A85" w:rsidP="00F00432">
      <w:pPr>
        <w:jc w:val="center"/>
      </w:pPr>
      <w:r>
        <w:rPr>
          <w:noProof/>
        </w:rPr>
        <w:drawing>
          <wp:inline distT="0" distB="0" distL="0" distR="0">
            <wp:extent cx="3657600" cy="4436110"/>
            <wp:effectExtent l="19050" t="0" r="0" b="0"/>
            <wp:docPr id="12" name="il_fi" descr="http://upload.wikimedia.org/wikipedia/commons/2/29/Concrete_Compression_Tes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2/29/Concrete_Compression_Testing.jpg"/>
                    <pic:cNvPicPr>
                      <a:picLocks noChangeAspect="1" noChangeArrowheads="1"/>
                    </pic:cNvPicPr>
                  </pic:nvPicPr>
                  <pic:blipFill>
                    <a:blip r:embed="rId98" r:link="rId99" cstate="print"/>
                    <a:srcRect/>
                    <a:stretch>
                      <a:fillRect/>
                    </a:stretch>
                  </pic:blipFill>
                  <pic:spPr bwMode="auto">
                    <a:xfrm>
                      <a:off x="0" y="0"/>
                      <a:ext cx="3657600" cy="4436110"/>
                    </a:xfrm>
                    <a:prstGeom prst="rect">
                      <a:avLst/>
                    </a:prstGeom>
                    <a:noFill/>
                    <a:ln w="9525">
                      <a:noFill/>
                      <a:miter lim="800000"/>
                      <a:headEnd/>
                      <a:tailEnd/>
                    </a:ln>
                  </pic:spPr>
                </pic:pic>
              </a:graphicData>
            </a:graphic>
          </wp:inline>
        </w:drawing>
      </w:r>
    </w:p>
    <w:p w:rsidR="004774B9" w:rsidRPr="0072059C" w:rsidRDefault="00F00432" w:rsidP="004B4E81">
      <w:pPr>
        <w:pStyle w:val="APTechFigureCaption"/>
      </w:pPr>
      <w:bookmarkStart w:id="163" w:name="_Ref274973210"/>
      <w:bookmarkStart w:id="164" w:name="f30"/>
      <w:bookmarkStart w:id="165" w:name="_Toc295918054"/>
      <w:r>
        <w:t>Figure</w:t>
      </w:r>
      <w:bookmarkEnd w:id="163"/>
      <w:r w:rsidR="002918A7">
        <w:t xml:space="preserve"> </w:t>
      </w:r>
      <w:r w:rsidR="00F3038B">
        <w:t>3-</w:t>
      </w:r>
      <w:bookmarkEnd w:id="164"/>
      <w:r w:rsidR="004C5C42">
        <w:t>2</w:t>
      </w:r>
      <w:r w:rsidR="00CC4DEE">
        <w:t>5</w:t>
      </w:r>
      <w:r>
        <w:t xml:space="preserve">.  </w:t>
      </w:r>
      <w:r w:rsidR="00FF2A85">
        <w:t>C</w:t>
      </w:r>
      <w:r w:rsidR="004774B9" w:rsidRPr="0072059C">
        <w:t>ompressive strength test</w:t>
      </w:r>
      <w:r w:rsidR="00FF2A85">
        <w:t xml:space="preserve"> (</w:t>
      </w:r>
      <w:r w:rsidR="00CC01BA">
        <w:t>P</w:t>
      </w:r>
      <w:r w:rsidR="00FF2A85">
        <w:t xml:space="preserve">ublic </w:t>
      </w:r>
      <w:r w:rsidR="00CC01BA">
        <w:t>D</w:t>
      </w:r>
      <w:r w:rsidR="00FF2A85">
        <w:t>omain</w:t>
      </w:r>
      <w:r w:rsidR="00CC01BA">
        <w:t xml:space="preserve"> 2006</w:t>
      </w:r>
      <w:r w:rsidR="00FF2A85">
        <w:t>)</w:t>
      </w:r>
      <w:r w:rsidR="004774B9" w:rsidRPr="0072059C">
        <w:t>.</w:t>
      </w:r>
      <w:bookmarkEnd w:id="165"/>
    </w:p>
    <w:p w:rsidR="00AB6D6C" w:rsidRDefault="00AB6D6C" w:rsidP="005E11F5"/>
    <w:p w:rsidR="00AB6D6C" w:rsidRDefault="00AB6D6C" w:rsidP="005E11F5"/>
    <w:p w:rsidR="004774B9" w:rsidRDefault="004774B9" w:rsidP="00F00432">
      <w:pPr>
        <w:pStyle w:val="Heading5"/>
      </w:pPr>
      <w:r>
        <w:t xml:space="preserve">Flexural </w:t>
      </w:r>
      <w:r w:rsidR="00F00432">
        <w:t>S</w:t>
      </w:r>
      <w:r>
        <w:t>trength</w:t>
      </w:r>
    </w:p>
    <w:p w:rsidR="004774B9" w:rsidRDefault="004774B9" w:rsidP="005E11F5">
      <w:r>
        <w:t xml:space="preserve">Flexural strength is a measure of the extreme fiber stress developed under slab bending, and is an important parameter in </w:t>
      </w:r>
      <w:r w:rsidR="00B55EC9">
        <w:t>concrete</w:t>
      </w:r>
      <w:r>
        <w:t xml:space="preserve"> pavement design.  Typical concrete mixtures will have 28-day flexural strengths that vary from 550 psi to 750 psi, although higher values are not uncommon.  The standard method of determining the flexural strength of concrete involves sampling, specimen preparation, curing, and flexural testing of rectangular beams that are 6 in</w:t>
      </w:r>
      <w:r w:rsidR="00AA6797">
        <w:t>.</w:t>
      </w:r>
      <w:r>
        <w:t xml:space="preserve"> wide </w:t>
      </w:r>
      <w:r w:rsidR="00AA6797">
        <w:t>by</w:t>
      </w:r>
      <w:r>
        <w:t xml:space="preserve"> 6 in</w:t>
      </w:r>
      <w:r w:rsidR="00AA6797">
        <w:t>.</w:t>
      </w:r>
      <w:r>
        <w:t xml:space="preserve"> high and at least 21 in</w:t>
      </w:r>
      <w:r w:rsidR="00AA6797">
        <w:t>.</w:t>
      </w:r>
      <w:r>
        <w:t xml:space="preserve"> long.  The</w:t>
      </w:r>
      <w:r w:rsidR="00AA6797">
        <w:t xml:space="preserve"> rectangular beams can be made using</w:t>
      </w:r>
      <w:r>
        <w:t xml:space="preserve"> fresh concrete or </w:t>
      </w:r>
      <w:r w:rsidR="00AA6797">
        <w:t>extracted</w:t>
      </w:r>
      <w:r w:rsidR="00F00432">
        <w:t xml:space="preserve"> from </w:t>
      </w:r>
      <w:r w:rsidR="00AA6797">
        <w:t>an</w:t>
      </w:r>
      <w:r w:rsidR="00F00432">
        <w:t xml:space="preserve"> existing</w:t>
      </w:r>
      <w:r w:rsidR="00AA6797">
        <w:t xml:space="preserve"> pavement</w:t>
      </w:r>
      <w:r w:rsidR="00F00432">
        <w:t>.</w:t>
      </w:r>
    </w:p>
    <w:p w:rsidR="00F504C5" w:rsidRDefault="00F504C5" w:rsidP="005E11F5"/>
    <w:p w:rsidR="004774B9" w:rsidRDefault="004774B9" w:rsidP="00F00432">
      <w:r>
        <w:t xml:space="preserve">Flexural testing can be conducted under either center-point or third-point loading conditions.  The third-point loading configuration, as described in AASHTO T 97 (ASTM C78), </w:t>
      </w:r>
      <w:r>
        <w:rPr>
          <w:i/>
        </w:rPr>
        <w:t>Standard Method of Test for Flexural Strength of Concrete (Using Simple Beam with Third-Point Loading</w:t>
      </w:r>
      <w:r w:rsidR="00537BE7">
        <w:rPr>
          <w:i/>
        </w:rPr>
        <w:t>)</w:t>
      </w:r>
      <w:r>
        <w:t>, is more commonly used in pavement design and provides a more conservative estimate of the flexural strength than the center-point test.  In the third-point test, the sample is placed in a special loading device that applies the load at points one-third from each end of the specimen (see</w:t>
      </w:r>
      <w:r w:rsidR="00AA7638">
        <w:t xml:space="preserve"> Figure 3-26)</w:t>
      </w:r>
      <w:r>
        <w:t>.  This configuration provides a uniform bending moment and uniform maximum tensile stress in the bottom fiber of the middle third of the beam.  The load is applied at a rate of 125 to 175 psi per minute until the specimen ruptures.  The maximum load sustained by the specimen is used to c</w:t>
      </w:r>
      <w:r w:rsidR="00F00432">
        <w:t>alculate its flexural strength.</w:t>
      </w:r>
      <w:r w:rsidR="00904271">
        <w:t xml:space="preserve">  Flexural strength using the third-point loading is determined using the following equation.</w:t>
      </w:r>
    </w:p>
    <w:p w:rsidR="00F00432" w:rsidRDefault="00F00432" w:rsidP="00F00432"/>
    <w:p w:rsidR="00904271" w:rsidRPr="001B5750" w:rsidRDefault="00904271" w:rsidP="00904271">
      <w:pPr>
        <w:tabs>
          <w:tab w:val="center" w:pos="4680"/>
          <w:tab w:val="right" w:pos="9360"/>
        </w:tabs>
        <w:rPr>
          <w:rFonts w:eastAsiaTheme="minorEastAsia"/>
          <w:szCs w:val="24"/>
        </w:rPr>
      </w:pPr>
      <w:r>
        <w:rPr>
          <w:szCs w:val="24"/>
        </w:rPr>
        <w:tab/>
      </w:r>
      <m:oMath>
        <m:r>
          <w:rPr>
            <w:rFonts w:ascii="Cambria Math" w:eastAsiaTheme="minorEastAsia" w:hAnsi="Cambria Math" w:cstheme="minorBidi"/>
            <w:sz w:val="28"/>
            <w:szCs w:val="28"/>
          </w:rPr>
          <m:t>R</m:t>
        </m:r>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PL</m:t>
            </m:r>
          </m:num>
          <m:den>
            <m:r>
              <w:rPr>
                <w:rFonts w:ascii="Cambria Math" w:hAnsi="Cambria Math"/>
                <w:sz w:val="28"/>
                <w:szCs w:val="28"/>
              </w:rPr>
              <m:t>b</m:t>
            </m:r>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3</m:t>
                </m:r>
              </m:sup>
            </m:sSup>
          </m:den>
        </m:f>
      </m:oMath>
      <w:r w:rsidRPr="001B5750">
        <w:rPr>
          <w:rFonts w:ascii="Arial" w:eastAsiaTheme="minorEastAsia" w:hAnsi="Arial" w:cstheme="minorBidi"/>
          <w:i/>
          <w:szCs w:val="24"/>
        </w:rPr>
        <w:tab/>
      </w:r>
      <w:r w:rsidRPr="001B5750">
        <w:rPr>
          <w:rFonts w:eastAsiaTheme="minorEastAsia"/>
          <w:szCs w:val="24"/>
        </w:rPr>
        <w:t>(</w:t>
      </w:r>
      <w:r>
        <w:rPr>
          <w:szCs w:val="24"/>
        </w:rPr>
        <w:t>3-</w:t>
      </w:r>
      <w:r>
        <w:rPr>
          <w:rFonts w:eastAsiaTheme="minorEastAsia"/>
          <w:szCs w:val="24"/>
        </w:rPr>
        <w:t>21</w:t>
      </w:r>
      <w:r w:rsidRPr="001B5750">
        <w:rPr>
          <w:rFonts w:eastAsiaTheme="minorEastAsia"/>
          <w:szCs w:val="24"/>
        </w:rPr>
        <w:t>)</w:t>
      </w:r>
    </w:p>
    <w:p w:rsidR="00904271" w:rsidRPr="001B5750" w:rsidRDefault="00904271" w:rsidP="00904271">
      <w:pPr>
        <w:spacing w:before="120" w:after="120"/>
        <w:rPr>
          <w:szCs w:val="24"/>
        </w:rPr>
      </w:pPr>
      <w:r w:rsidRPr="001B5750">
        <w:rPr>
          <w:szCs w:val="24"/>
        </w:rPr>
        <w:t>where:</w:t>
      </w:r>
    </w:p>
    <w:p w:rsidR="00904271" w:rsidRDefault="00904271" w:rsidP="00904271">
      <w:pPr>
        <w:tabs>
          <w:tab w:val="right" w:pos="1080"/>
          <w:tab w:val="left" w:pos="1440"/>
          <w:tab w:val="left" w:pos="1800"/>
        </w:tabs>
        <w:ind w:left="1800" w:hanging="1800"/>
        <w:rPr>
          <w:szCs w:val="24"/>
        </w:rPr>
      </w:pPr>
      <w:r w:rsidRPr="001B5750">
        <w:rPr>
          <w:i/>
          <w:szCs w:val="24"/>
        </w:rPr>
        <w:tab/>
      </w:r>
      <w:r>
        <w:rPr>
          <w:i/>
          <w:szCs w:val="24"/>
        </w:rPr>
        <w:t>R</w:t>
      </w:r>
      <w:r>
        <w:rPr>
          <w:i/>
          <w:szCs w:val="24"/>
        </w:rPr>
        <w:tab/>
      </w:r>
      <w:r w:rsidRPr="001B5750">
        <w:rPr>
          <w:i/>
          <w:szCs w:val="24"/>
        </w:rPr>
        <w:t>=</w:t>
      </w:r>
      <w:r>
        <w:rPr>
          <w:i/>
          <w:szCs w:val="24"/>
        </w:rPr>
        <w:tab/>
      </w:r>
      <w:r>
        <w:rPr>
          <w:szCs w:val="24"/>
        </w:rPr>
        <w:t>Flexural</w:t>
      </w:r>
      <w:r w:rsidRPr="001B5750">
        <w:rPr>
          <w:szCs w:val="24"/>
        </w:rPr>
        <w:t xml:space="preserve"> strength,</w:t>
      </w:r>
      <w:r>
        <w:rPr>
          <w:szCs w:val="24"/>
        </w:rPr>
        <w:t xml:space="preserve"> psi</w:t>
      </w:r>
    </w:p>
    <w:p w:rsidR="00904271" w:rsidRDefault="00904271" w:rsidP="00904271">
      <w:pPr>
        <w:tabs>
          <w:tab w:val="right" w:pos="1080"/>
          <w:tab w:val="left" w:pos="1440"/>
          <w:tab w:val="left" w:pos="1800"/>
        </w:tabs>
        <w:ind w:left="1800" w:hanging="1800"/>
        <w:rPr>
          <w:szCs w:val="24"/>
        </w:rPr>
      </w:pPr>
      <w:r>
        <w:rPr>
          <w:i/>
          <w:szCs w:val="24"/>
        </w:rPr>
        <w:tab/>
        <w:t>P</w:t>
      </w:r>
      <w:r w:rsidRPr="00EB59E6">
        <w:rPr>
          <w:szCs w:val="24"/>
        </w:rPr>
        <w:tab/>
        <w:t>=</w:t>
      </w:r>
      <w:r w:rsidRPr="00EB59E6">
        <w:rPr>
          <w:szCs w:val="24"/>
        </w:rPr>
        <w:tab/>
      </w:r>
      <w:r>
        <w:rPr>
          <w:szCs w:val="24"/>
        </w:rPr>
        <w:t>Maximum a</w:t>
      </w:r>
      <w:r w:rsidRPr="00EB59E6">
        <w:rPr>
          <w:szCs w:val="24"/>
        </w:rPr>
        <w:t>pplied</w:t>
      </w:r>
      <w:r>
        <w:rPr>
          <w:szCs w:val="24"/>
        </w:rPr>
        <w:t xml:space="preserve"> load, lbs</w:t>
      </w:r>
    </w:p>
    <w:p w:rsidR="00904271" w:rsidRDefault="00904271" w:rsidP="00904271">
      <w:pPr>
        <w:tabs>
          <w:tab w:val="right" w:pos="1080"/>
          <w:tab w:val="left" w:pos="1440"/>
          <w:tab w:val="left" w:pos="1800"/>
        </w:tabs>
        <w:ind w:left="1800" w:hanging="1800"/>
        <w:rPr>
          <w:szCs w:val="24"/>
        </w:rPr>
      </w:pPr>
      <w:r>
        <w:rPr>
          <w:i/>
          <w:szCs w:val="24"/>
        </w:rPr>
        <w:tab/>
        <w:t>L</w:t>
      </w:r>
      <w:r w:rsidRPr="00EB59E6">
        <w:rPr>
          <w:szCs w:val="24"/>
        </w:rPr>
        <w:tab/>
      </w:r>
      <w:r>
        <w:rPr>
          <w:szCs w:val="24"/>
        </w:rPr>
        <w:t>=</w:t>
      </w:r>
      <w:r>
        <w:rPr>
          <w:szCs w:val="24"/>
        </w:rPr>
        <w:tab/>
        <w:t>Span length, in</w:t>
      </w:r>
    </w:p>
    <w:p w:rsidR="00904271" w:rsidRDefault="00904271" w:rsidP="00904271">
      <w:pPr>
        <w:tabs>
          <w:tab w:val="right" w:pos="1080"/>
          <w:tab w:val="left" w:pos="1440"/>
          <w:tab w:val="left" w:pos="1800"/>
        </w:tabs>
        <w:ind w:left="1800" w:hanging="1800"/>
        <w:rPr>
          <w:szCs w:val="24"/>
        </w:rPr>
      </w:pPr>
      <w:r>
        <w:rPr>
          <w:i/>
          <w:szCs w:val="24"/>
        </w:rPr>
        <w:tab/>
        <w:t>b</w:t>
      </w:r>
      <w:r>
        <w:rPr>
          <w:i/>
          <w:szCs w:val="24"/>
        </w:rPr>
        <w:tab/>
        <w:t>=</w:t>
      </w:r>
      <w:r>
        <w:rPr>
          <w:i/>
          <w:szCs w:val="24"/>
        </w:rPr>
        <w:tab/>
      </w:r>
      <w:r>
        <w:rPr>
          <w:szCs w:val="24"/>
        </w:rPr>
        <w:t>Average width of specimen, in.</w:t>
      </w:r>
    </w:p>
    <w:p w:rsidR="00904271" w:rsidRPr="00904271" w:rsidRDefault="00904271" w:rsidP="00904271">
      <w:pPr>
        <w:tabs>
          <w:tab w:val="right" w:pos="1080"/>
          <w:tab w:val="left" w:pos="1440"/>
          <w:tab w:val="left" w:pos="1800"/>
        </w:tabs>
        <w:ind w:left="1800" w:hanging="1800"/>
        <w:rPr>
          <w:szCs w:val="24"/>
        </w:rPr>
      </w:pPr>
      <w:r>
        <w:rPr>
          <w:i/>
          <w:szCs w:val="24"/>
        </w:rPr>
        <w:tab/>
        <w:t>d</w:t>
      </w:r>
      <w:r>
        <w:rPr>
          <w:i/>
          <w:szCs w:val="24"/>
        </w:rPr>
        <w:tab/>
        <w:t>=</w:t>
      </w:r>
      <w:r>
        <w:rPr>
          <w:i/>
          <w:szCs w:val="24"/>
        </w:rPr>
        <w:tab/>
      </w:r>
      <w:r>
        <w:rPr>
          <w:szCs w:val="24"/>
        </w:rPr>
        <w:t>Average depth of specimen, in.</w:t>
      </w:r>
    </w:p>
    <w:p w:rsidR="00904271" w:rsidRDefault="00904271" w:rsidP="00904271"/>
    <w:p w:rsidR="00F00432" w:rsidRDefault="00AD3480" w:rsidP="00904271">
      <w:pPr>
        <w:pStyle w:val="Caption"/>
        <w:spacing w:before="0"/>
        <w:rPr>
          <w:b/>
          <w:szCs w:val="24"/>
        </w:rPr>
      </w:pPr>
      <w:r>
        <w:rPr>
          <w:noProof/>
        </w:rPr>
        <w:drawing>
          <wp:inline distT="0" distB="0" distL="0" distR="0">
            <wp:extent cx="3657600" cy="2891790"/>
            <wp:effectExtent l="19050" t="0" r="0" b="0"/>
            <wp:docPr id="25" name="Picture 1" descr="cid:image011.jpg@01CBDCB5.AE0FBF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jpg@01CBDCB5.AE0FBF50"/>
                    <pic:cNvPicPr>
                      <a:picLocks noChangeAspect="1" noChangeArrowheads="1"/>
                    </pic:cNvPicPr>
                  </pic:nvPicPr>
                  <pic:blipFill>
                    <a:blip r:embed="rId100" r:link="rId101" cstate="print"/>
                    <a:srcRect/>
                    <a:stretch>
                      <a:fillRect/>
                    </a:stretch>
                  </pic:blipFill>
                  <pic:spPr bwMode="auto">
                    <a:xfrm>
                      <a:off x="0" y="0"/>
                      <a:ext cx="3657600" cy="2891790"/>
                    </a:xfrm>
                    <a:prstGeom prst="rect">
                      <a:avLst/>
                    </a:prstGeom>
                    <a:noFill/>
                    <a:ln w="9525">
                      <a:noFill/>
                      <a:miter lim="800000"/>
                      <a:headEnd/>
                      <a:tailEnd/>
                    </a:ln>
                  </pic:spPr>
                </pic:pic>
              </a:graphicData>
            </a:graphic>
          </wp:inline>
        </w:drawing>
      </w:r>
    </w:p>
    <w:p w:rsidR="004774B9" w:rsidRPr="003604A8" w:rsidRDefault="00F00432" w:rsidP="004B4E81">
      <w:pPr>
        <w:pStyle w:val="APTechFigureCaption"/>
      </w:pPr>
      <w:bookmarkStart w:id="166" w:name="_Ref274973423"/>
      <w:bookmarkStart w:id="167" w:name="f31"/>
      <w:bookmarkStart w:id="168" w:name="_Toc295918055"/>
      <w:r>
        <w:t>Figure</w:t>
      </w:r>
      <w:bookmarkEnd w:id="166"/>
      <w:r w:rsidR="002918A7">
        <w:t xml:space="preserve"> </w:t>
      </w:r>
      <w:r w:rsidR="00F3038B">
        <w:t>3-</w:t>
      </w:r>
      <w:bookmarkEnd w:id="167"/>
      <w:r w:rsidR="00CC4DEE">
        <w:t>26</w:t>
      </w:r>
      <w:r>
        <w:t xml:space="preserve">.  </w:t>
      </w:r>
      <w:r w:rsidR="00AD3480">
        <w:t>T</w:t>
      </w:r>
      <w:r w:rsidR="004774B9" w:rsidRPr="003604A8">
        <w:t>hird-point flexural testing</w:t>
      </w:r>
      <w:r w:rsidR="00F10670">
        <w:t xml:space="preserve"> (UNM 2011</w:t>
      </w:r>
      <w:r w:rsidR="00AD3480">
        <w:t>)</w:t>
      </w:r>
      <w:r w:rsidR="004774B9" w:rsidRPr="003604A8">
        <w:t>.</w:t>
      </w:r>
      <w:bookmarkEnd w:id="168"/>
    </w:p>
    <w:p w:rsidR="004774B9" w:rsidRDefault="004774B9" w:rsidP="005E11F5"/>
    <w:p w:rsidR="00AB6D6C" w:rsidRDefault="00AB6D6C" w:rsidP="00AB6D6C">
      <w:r>
        <w:t xml:space="preserve">Depending on the specifications, a flexural beam may be tested at different times during the curing process.  For concrete pavements, the times are usually determined based upon the anticipated time before opening to traffic and range between 2 hours for fast-track mixes to 28 days for conventional mixes.  </w:t>
      </w:r>
    </w:p>
    <w:p w:rsidR="00AB6D6C" w:rsidRDefault="00AB6D6C" w:rsidP="00AB6D6C"/>
    <w:p w:rsidR="004774B9" w:rsidRDefault="004774B9" w:rsidP="005E11F5">
      <w:r>
        <w:t>One of the advantages of this test is for pavement design purposes, the resultant strength values are believed to be more meaningful than compressi</w:t>
      </w:r>
      <w:r w:rsidR="00DA2F11">
        <w:t>ve strength values.  But the</w:t>
      </w:r>
      <w:r>
        <w:t xml:space="preserve"> beams are heavier and more difficult to work with.  Moreover, the results of the flexural strength test are more variable than the compressive strength results.  </w:t>
      </w:r>
    </w:p>
    <w:p w:rsidR="004774B9" w:rsidRDefault="004774B9" w:rsidP="005E11F5"/>
    <w:p w:rsidR="004774B9" w:rsidRDefault="00F00432" w:rsidP="00F00432">
      <w:pPr>
        <w:pStyle w:val="Heading5"/>
      </w:pPr>
      <w:r>
        <w:t>S</w:t>
      </w:r>
      <w:r w:rsidR="004774B9">
        <w:t xml:space="preserve">plitting </w:t>
      </w:r>
      <w:r>
        <w:t>T</w:t>
      </w:r>
      <w:r w:rsidR="004774B9">
        <w:t xml:space="preserve">ensile </w:t>
      </w:r>
      <w:r>
        <w:t>S</w:t>
      </w:r>
      <w:r w:rsidR="004774B9">
        <w:t>trength</w:t>
      </w:r>
    </w:p>
    <w:p w:rsidR="004774B9" w:rsidRDefault="004774B9" w:rsidP="005E11F5">
      <w:r>
        <w:t xml:space="preserve">The splitting tensile test, also called the indirect tension test, is used primarily to determine the tensile strength of cores obtained from concrete pavements.  The procedure is described in ASTM C496, </w:t>
      </w:r>
      <w:r>
        <w:rPr>
          <w:i/>
        </w:rPr>
        <w:t>Standard Test Method for Splitting Tensile Strength of Cylindrical Concrete Specimens</w:t>
      </w:r>
      <w:r>
        <w:t>.  The test involves applying a vertical load at a constant rate of deformation (0.05</w:t>
      </w:r>
      <w:r w:rsidR="00583AC9">
        <w:t xml:space="preserve"> </w:t>
      </w:r>
      <w:r w:rsidR="00DF35C4">
        <w:t>in.</w:t>
      </w:r>
      <w:r w:rsidR="00583AC9">
        <w:t xml:space="preserve"> </w:t>
      </w:r>
      <w:r>
        <w:t>per min) on the diameter of a cylindrical sample (as shown in</w:t>
      </w:r>
      <w:r w:rsidR="00AA7638">
        <w:t xml:space="preserve"> Figure 3-27</w:t>
      </w:r>
      <w:r>
        <w:t>).  The sample will fail in tension along the vertical diameter of the sample and the indirect tensile strength is calculated from the maximum applied load and the dimensions of the specimen.</w:t>
      </w:r>
      <w:r w:rsidRPr="00661B5F">
        <w:t xml:space="preserve"> </w:t>
      </w:r>
    </w:p>
    <w:p w:rsidR="004774B9" w:rsidRDefault="004774B9" w:rsidP="005E11F5"/>
    <w:p w:rsidR="00F504C5" w:rsidRDefault="00F504C5" w:rsidP="00F504C5">
      <w:r>
        <w:t xml:space="preserve">This </w:t>
      </w:r>
      <w:r w:rsidRPr="005E11F5">
        <w:t>test can be performed on the same cores obtained for slab thickness deter</w:t>
      </w:r>
      <w:r>
        <w:t>mination as well as from new cores molded from the fresh concrete.  The advantages of this method include the relative small specimen size, the speed and ease of testing, and, because the specimens are cured “in-place,” they are more representative of the in situ pavement (when the cores are obtained from the concrete pavement).  The primary disadvantage of this method is that it is a destructive test that requires patching after sampling.</w:t>
      </w:r>
    </w:p>
    <w:p w:rsidR="00F504C5" w:rsidRDefault="00F504C5" w:rsidP="005E11F5"/>
    <w:p w:rsidR="00F00432" w:rsidRDefault="008F7D0E" w:rsidP="00F00432">
      <w:pPr>
        <w:jc w:val="center"/>
      </w:pPr>
      <w:r>
        <w:rPr>
          <w:noProof/>
        </w:rPr>
        <w:drawing>
          <wp:inline distT="0" distB="0" distL="0" distR="0">
            <wp:extent cx="3657600" cy="2557780"/>
            <wp:effectExtent l="19050" t="0" r="0" b="0"/>
            <wp:docPr id="30" name="Picture 12" descr="cid:image012.jpg@01CBDCB5.AE0FBF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id:image012.jpg@01CBDCB5.AE0FBF50"/>
                    <pic:cNvPicPr>
                      <a:picLocks noChangeAspect="1" noChangeArrowheads="1"/>
                    </pic:cNvPicPr>
                  </pic:nvPicPr>
                  <pic:blipFill>
                    <a:blip r:embed="rId102" r:link="rId103" cstate="print"/>
                    <a:srcRect/>
                    <a:stretch>
                      <a:fillRect/>
                    </a:stretch>
                  </pic:blipFill>
                  <pic:spPr bwMode="auto">
                    <a:xfrm>
                      <a:off x="0" y="0"/>
                      <a:ext cx="3657600" cy="2557780"/>
                    </a:xfrm>
                    <a:prstGeom prst="rect">
                      <a:avLst/>
                    </a:prstGeom>
                    <a:noFill/>
                    <a:ln w="9525">
                      <a:noFill/>
                      <a:miter lim="800000"/>
                      <a:headEnd/>
                      <a:tailEnd/>
                    </a:ln>
                  </pic:spPr>
                </pic:pic>
              </a:graphicData>
            </a:graphic>
          </wp:inline>
        </w:drawing>
      </w:r>
    </w:p>
    <w:p w:rsidR="004774B9" w:rsidRPr="00661B5F" w:rsidRDefault="00F00432" w:rsidP="004B4E81">
      <w:pPr>
        <w:pStyle w:val="APTechFigureCaption"/>
      </w:pPr>
      <w:bookmarkStart w:id="169" w:name="_Ref274973895"/>
      <w:bookmarkStart w:id="170" w:name="f32"/>
      <w:bookmarkStart w:id="171" w:name="_Toc295918056"/>
      <w:r>
        <w:t>Figure</w:t>
      </w:r>
      <w:bookmarkEnd w:id="169"/>
      <w:r w:rsidR="007F5E35">
        <w:t xml:space="preserve"> </w:t>
      </w:r>
      <w:r w:rsidR="00F3038B">
        <w:t>3-</w:t>
      </w:r>
      <w:bookmarkEnd w:id="170"/>
      <w:r w:rsidR="001F63B3">
        <w:t>2</w:t>
      </w:r>
      <w:r w:rsidR="00CC4DEE">
        <w:t>7</w:t>
      </w:r>
      <w:r>
        <w:t xml:space="preserve">.  </w:t>
      </w:r>
      <w:r w:rsidR="00FB5FFA">
        <w:t>S</w:t>
      </w:r>
      <w:r w:rsidR="004774B9">
        <w:t>plitting tensile strength test</w:t>
      </w:r>
      <w:r w:rsidR="00FB5FFA">
        <w:t xml:space="preserve"> (UNM n.d.)</w:t>
      </w:r>
      <w:bookmarkEnd w:id="171"/>
    </w:p>
    <w:p w:rsidR="004774B9" w:rsidRDefault="004774B9" w:rsidP="005E11F5"/>
    <w:p w:rsidR="004774B9" w:rsidRDefault="004774B9" w:rsidP="00436095">
      <w:pPr>
        <w:pStyle w:val="Heading4"/>
      </w:pPr>
      <w:bookmarkStart w:id="172" w:name="_Toc295918671"/>
      <w:r>
        <w:t xml:space="preserve">Modulus of </w:t>
      </w:r>
      <w:r w:rsidR="00F00432">
        <w:t>E</w:t>
      </w:r>
      <w:r>
        <w:t xml:space="preserve">lasticity and Poisson’s </w:t>
      </w:r>
      <w:r w:rsidR="00F00432">
        <w:t>R</w:t>
      </w:r>
      <w:r>
        <w:t>atio</w:t>
      </w:r>
      <w:bookmarkEnd w:id="172"/>
    </w:p>
    <w:p w:rsidR="004774B9" w:rsidRDefault="004774B9" w:rsidP="005E11F5">
      <w:r>
        <w:t>The modulus of elasticity (E</w:t>
      </w:r>
      <w:r w:rsidR="00B55EC9">
        <w:rPr>
          <w:vertAlign w:val="subscript"/>
        </w:rPr>
        <w:t>concrete</w:t>
      </w:r>
      <w:r>
        <w:t xml:space="preserve">) (also called Young’s modulus) represents the stiffness of the concrete, measured as the slope of the stress-strain curve in the elastic region (up to approximately 40 percent of the ultimate strength).  This test is normally conducted on a cylinder in compression.  Conventional </w:t>
      </w:r>
      <w:r w:rsidR="00B55EC9">
        <w:t>concrete</w:t>
      </w:r>
      <w:r>
        <w:t xml:space="preserve"> will typically have an E</w:t>
      </w:r>
      <w:r w:rsidR="00B55EC9">
        <w:rPr>
          <w:vertAlign w:val="subscript"/>
        </w:rPr>
        <w:t>concrete</w:t>
      </w:r>
      <w:r>
        <w:t xml:space="preserve"> between 3,000,000 psi and 6,000,000 psi.  It is often estimated from the compressive strength using the following equation:</w:t>
      </w:r>
    </w:p>
    <w:p w:rsidR="004774B9" w:rsidRDefault="004774B9" w:rsidP="00F00432"/>
    <w:p w:rsidR="004774B9" w:rsidRPr="001B5750" w:rsidRDefault="001B5750" w:rsidP="001B5750">
      <w:pPr>
        <w:tabs>
          <w:tab w:val="center" w:pos="4680"/>
          <w:tab w:val="right" w:pos="9360"/>
        </w:tabs>
        <w:rPr>
          <w:rFonts w:eastAsiaTheme="minorEastAsia"/>
          <w:szCs w:val="24"/>
        </w:rPr>
      </w:pPr>
      <w:r>
        <w:rPr>
          <w:szCs w:val="24"/>
        </w:rPr>
        <w:tab/>
      </w:r>
      <m:oMath>
        <m:sSub>
          <m:sSubPr>
            <m:ctrlPr>
              <w:rPr>
                <w:rFonts w:ascii="Cambria Math" w:eastAsiaTheme="minorEastAsia" w:hAnsi="Cambria Math" w:cstheme="minorBidi"/>
                <w:i/>
                <w:szCs w:val="24"/>
              </w:rPr>
            </m:ctrlPr>
          </m:sSubPr>
          <m:e>
            <m:r>
              <w:rPr>
                <w:rFonts w:ascii="Cambria Math" w:eastAsiaTheme="minorEastAsia" w:hAnsi="Cambria Math" w:cstheme="minorBidi"/>
                <w:szCs w:val="24"/>
              </w:rPr>
              <m:t>E</m:t>
            </m:r>
          </m:e>
          <m:sub>
            <m:r>
              <w:rPr>
                <w:rFonts w:ascii="Cambria Math" w:eastAsiaTheme="minorEastAsia" w:hAnsi="Cambria Math" w:cstheme="minorBidi"/>
                <w:szCs w:val="24"/>
              </w:rPr>
              <m:t>PCC</m:t>
            </m:r>
          </m:sub>
        </m:sSub>
        <m:r>
          <w:rPr>
            <w:rFonts w:ascii="Cambria Math" w:eastAsiaTheme="minorEastAsia" w:hAnsi="Cambria Math" w:cstheme="minorBidi"/>
            <w:szCs w:val="24"/>
          </w:rPr>
          <m:t>=57,000</m:t>
        </m:r>
        <m:rad>
          <m:radPr>
            <m:degHide m:val="1"/>
            <m:ctrlPr>
              <w:rPr>
                <w:rFonts w:ascii="Cambria Math" w:eastAsiaTheme="minorEastAsia" w:hAnsi="Cambria Math" w:cstheme="minorBidi"/>
                <w:i/>
                <w:szCs w:val="24"/>
              </w:rPr>
            </m:ctrlPr>
          </m:radPr>
          <m:deg/>
          <m:e>
            <m:sSubSup>
              <m:sSubSupPr>
                <m:ctrlPr>
                  <w:rPr>
                    <w:rFonts w:ascii="Cambria Math" w:eastAsiaTheme="minorEastAsia" w:hAnsi="Cambria Math" w:cstheme="minorBidi"/>
                    <w:i/>
                    <w:szCs w:val="24"/>
                  </w:rPr>
                </m:ctrlPr>
              </m:sSubSupPr>
              <m:e>
                <m:r>
                  <w:rPr>
                    <w:rFonts w:ascii="Cambria Math" w:eastAsiaTheme="minorEastAsia" w:hAnsi="Cambria Math" w:cstheme="minorBidi"/>
                    <w:szCs w:val="24"/>
                  </w:rPr>
                  <m:t>f</m:t>
                </m:r>
              </m:e>
              <m:sub>
                <m:r>
                  <w:rPr>
                    <w:rFonts w:ascii="Cambria Math" w:eastAsiaTheme="minorEastAsia" w:hAnsi="Cambria Math" w:cstheme="minorBidi"/>
                    <w:szCs w:val="24"/>
                  </w:rPr>
                  <m:t>c</m:t>
                </m:r>
              </m:sub>
              <m:sup>
                <m:r>
                  <w:rPr>
                    <w:rFonts w:ascii="Cambria Math" w:eastAsiaTheme="minorEastAsia" w:hAnsi="Cambria Math" w:cstheme="minorBidi"/>
                    <w:szCs w:val="24"/>
                  </w:rPr>
                  <m:t>'</m:t>
                </m:r>
              </m:sup>
            </m:sSubSup>
          </m:e>
        </m:rad>
      </m:oMath>
      <w:r w:rsidR="00F00432" w:rsidRPr="001B5750">
        <w:rPr>
          <w:rFonts w:ascii="Arial" w:eastAsiaTheme="minorEastAsia" w:hAnsi="Arial" w:cstheme="minorBidi"/>
          <w:i/>
          <w:szCs w:val="24"/>
        </w:rPr>
        <w:tab/>
      </w:r>
      <w:r w:rsidR="00F00432" w:rsidRPr="001B5750">
        <w:rPr>
          <w:rFonts w:eastAsiaTheme="minorEastAsia"/>
          <w:szCs w:val="24"/>
        </w:rPr>
        <w:t>(</w:t>
      </w:r>
      <w:r w:rsidR="00402C07">
        <w:rPr>
          <w:szCs w:val="24"/>
        </w:rPr>
        <w:t>3-</w:t>
      </w:r>
      <w:r w:rsidR="007F5E35">
        <w:rPr>
          <w:rFonts w:eastAsiaTheme="minorEastAsia"/>
          <w:szCs w:val="24"/>
        </w:rPr>
        <w:t>2</w:t>
      </w:r>
      <w:r w:rsidR="00EB59E6">
        <w:rPr>
          <w:rFonts w:eastAsiaTheme="minorEastAsia"/>
          <w:szCs w:val="24"/>
        </w:rPr>
        <w:t>2</w:t>
      </w:r>
      <w:r w:rsidR="00F00432" w:rsidRPr="001B5750">
        <w:rPr>
          <w:rFonts w:eastAsiaTheme="minorEastAsia"/>
          <w:szCs w:val="24"/>
        </w:rPr>
        <w:t>)</w:t>
      </w:r>
    </w:p>
    <w:p w:rsidR="004774B9" w:rsidRPr="001B5750" w:rsidRDefault="004774B9" w:rsidP="001B5750">
      <w:pPr>
        <w:spacing w:before="120" w:after="120"/>
        <w:rPr>
          <w:szCs w:val="24"/>
        </w:rPr>
      </w:pPr>
      <w:r w:rsidRPr="001B5750">
        <w:rPr>
          <w:szCs w:val="24"/>
        </w:rPr>
        <w:t>where:</w:t>
      </w:r>
    </w:p>
    <w:p w:rsidR="001B5750" w:rsidRDefault="001B5750" w:rsidP="001B5750">
      <w:pPr>
        <w:tabs>
          <w:tab w:val="right" w:pos="1080"/>
          <w:tab w:val="left" w:pos="1440"/>
          <w:tab w:val="left" w:pos="1800"/>
        </w:tabs>
        <w:ind w:left="1800" w:hanging="1800"/>
        <w:rPr>
          <w:i/>
          <w:szCs w:val="24"/>
        </w:rPr>
      </w:pPr>
      <w:r>
        <w:rPr>
          <w:i/>
          <w:szCs w:val="24"/>
        </w:rPr>
        <w:tab/>
        <w:t>E</w:t>
      </w:r>
      <w:r w:rsidRPr="001B5750">
        <w:rPr>
          <w:i/>
          <w:szCs w:val="24"/>
          <w:vertAlign w:val="subscript"/>
        </w:rPr>
        <w:t>pcc</w:t>
      </w:r>
      <w:r>
        <w:rPr>
          <w:i/>
          <w:szCs w:val="24"/>
        </w:rPr>
        <w:tab/>
        <w:t>=</w:t>
      </w:r>
      <w:r>
        <w:rPr>
          <w:i/>
          <w:szCs w:val="24"/>
        </w:rPr>
        <w:tab/>
      </w:r>
      <w:r w:rsidR="00DF35C4">
        <w:rPr>
          <w:szCs w:val="24"/>
        </w:rPr>
        <w:t>Modulus of Elasticity, psi</w:t>
      </w:r>
    </w:p>
    <w:p w:rsidR="004774B9" w:rsidRPr="001B5750" w:rsidRDefault="004774B9" w:rsidP="001B5750">
      <w:pPr>
        <w:tabs>
          <w:tab w:val="right" w:pos="1080"/>
          <w:tab w:val="left" w:pos="1440"/>
          <w:tab w:val="left" w:pos="1800"/>
        </w:tabs>
        <w:ind w:left="1800" w:hanging="1800"/>
        <w:rPr>
          <w:szCs w:val="24"/>
        </w:rPr>
      </w:pPr>
      <w:r w:rsidRPr="001B5750">
        <w:rPr>
          <w:i/>
          <w:szCs w:val="24"/>
        </w:rPr>
        <w:tab/>
        <w:t>f’</w:t>
      </w:r>
      <w:r w:rsidR="001B5750">
        <w:rPr>
          <w:i/>
          <w:szCs w:val="24"/>
        </w:rPr>
        <w:t>c</w:t>
      </w:r>
      <w:r w:rsidR="001B5750">
        <w:rPr>
          <w:i/>
          <w:szCs w:val="24"/>
        </w:rPr>
        <w:tab/>
      </w:r>
      <w:r w:rsidRPr="001B5750">
        <w:rPr>
          <w:i/>
          <w:szCs w:val="24"/>
        </w:rPr>
        <w:t>=</w:t>
      </w:r>
      <w:r w:rsidR="001B5750">
        <w:rPr>
          <w:i/>
          <w:szCs w:val="24"/>
        </w:rPr>
        <w:tab/>
      </w:r>
      <w:r w:rsidR="001B5750" w:rsidRPr="001B5750">
        <w:rPr>
          <w:szCs w:val="24"/>
        </w:rPr>
        <w:t>C</w:t>
      </w:r>
      <w:r w:rsidRPr="001B5750">
        <w:rPr>
          <w:szCs w:val="24"/>
        </w:rPr>
        <w:t xml:space="preserve">ompressive </w:t>
      </w:r>
      <w:r w:rsidR="001B5750" w:rsidRPr="001B5750">
        <w:rPr>
          <w:szCs w:val="24"/>
        </w:rPr>
        <w:t>strength,</w:t>
      </w:r>
      <w:r w:rsidR="00DF35C4">
        <w:rPr>
          <w:szCs w:val="24"/>
        </w:rPr>
        <w:t xml:space="preserve"> psi</w:t>
      </w:r>
    </w:p>
    <w:p w:rsidR="004774B9" w:rsidRDefault="004774B9" w:rsidP="005E11F5"/>
    <w:p w:rsidR="004774B9" w:rsidRDefault="004774B9" w:rsidP="005E11F5">
      <w:r>
        <w:t>The Poisson’s ratio is the ratio of deformation perpendicular to the direction of loading to that in the direction of loading.  For concrete, it typically lies between 0.15 and 0.25.</w:t>
      </w:r>
    </w:p>
    <w:p w:rsidR="004774B9" w:rsidRDefault="004774B9" w:rsidP="005E11F5"/>
    <w:p w:rsidR="004774B9" w:rsidRDefault="004774B9" w:rsidP="005E11F5">
      <w:r>
        <w:t>Both the E</w:t>
      </w:r>
      <w:r w:rsidR="00B55EC9">
        <w:rPr>
          <w:vertAlign w:val="subscript"/>
        </w:rPr>
        <w:t>concrete</w:t>
      </w:r>
      <w:r>
        <w:t xml:space="preserve"> and Poisson’s ratio are measured in accordance with ASTM C469, </w:t>
      </w:r>
      <w:r w:rsidRPr="001B5750">
        <w:rPr>
          <w:i/>
        </w:rPr>
        <w:t>Standard Test Method for Static Modulus of Elasticity and Poisson’s Ratio of Concrete in Compression</w:t>
      </w:r>
      <w:r>
        <w:t>.</w:t>
      </w:r>
    </w:p>
    <w:p w:rsidR="004774B9" w:rsidRDefault="004774B9" w:rsidP="005E11F5"/>
    <w:p w:rsidR="004774B9" w:rsidRPr="005A52CF" w:rsidRDefault="004774B9" w:rsidP="005E11F5">
      <w:r>
        <w:t>The E</w:t>
      </w:r>
      <w:r w:rsidR="00B55EC9">
        <w:rPr>
          <w:vertAlign w:val="subscript"/>
        </w:rPr>
        <w:t>concrete</w:t>
      </w:r>
      <w:r>
        <w:t xml:space="preserve"> is a required for design of structures and pavements and is also useful for modeling the risk of cracking in </w:t>
      </w:r>
      <w:r w:rsidR="00B55EC9">
        <w:t>concrete</w:t>
      </w:r>
      <w:r>
        <w:t>.</w:t>
      </w:r>
    </w:p>
    <w:p w:rsidR="004774B9" w:rsidRDefault="004774B9" w:rsidP="004774B9">
      <w:pPr>
        <w:adjustRightInd w:val="0"/>
        <w:rPr>
          <w:spacing w:val="-2"/>
        </w:rPr>
      </w:pPr>
    </w:p>
    <w:p w:rsidR="004774B9" w:rsidRDefault="004774B9" w:rsidP="00436095">
      <w:pPr>
        <w:pStyle w:val="Heading4"/>
      </w:pPr>
      <w:bookmarkStart w:id="173" w:name="_Toc295918672"/>
      <w:r>
        <w:t xml:space="preserve">Coefficient of </w:t>
      </w:r>
      <w:r w:rsidR="001B5750">
        <w:t>T</w:t>
      </w:r>
      <w:r>
        <w:t xml:space="preserve">hermal </w:t>
      </w:r>
      <w:r w:rsidR="001B5750">
        <w:t>E</w:t>
      </w:r>
      <w:r>
        <w:t>xpansion</w:t>
      </w:r>
      <w:bookmarkEnd w:id="173"/>
    </w:p>
    <w:p w:rsidR="004774B9" w:rsidRDefault="004774B9" w:rsidP="005E11F5">
      <w:r>
        <w:t xml:space="preserve">The coefficient of thermal expansion (CTE) of </w:t>
      </w:r>
      <w:r w:rsidR="00B55EC9">
        <w:t>concrete</w:t>
      </w:r>
      <w:r>
        <w:t xml:space="preserve"> has become a very important parameter with the release of the new AASHTO MEPDG</w:t>
      </w:r>
      <w:r w:rsidR="00537BE7">
        <w:t xml:space="preserve"> (AASHTO 2008)</w:t>
      </w:r>
      <w:r>
        <w:t xml:space="preserve">.  CTE is defined as the change in length (or volume) of the concrete for a given change in temperature.  As the concrete warms, it will expand at a rate dependent upon a number of factors including aggregate type, cement content, </w:t>
      </w:r>
      <w:r>
        <w:rPr>
          <w:i/>
        </w:rPr>
        <w:t>w/cm</w:t>
      </w:r>
      <w:r>
        <w:t xml:space="preserve">, age, and internal relative humidity.  Of these, the coarse aggregate type has the largest single influence, with </w:t>
      </w:r>
      <w:r w:rsidR="00B55EC9">
        <w:t>concrete</w:t>
      </w:r>
      <w:r>
        <w:t xml:space="preserve"> made with pure calcium carbonate limestone having one of the lowest CTE values and that made with a pure siliceous quartzite having one of the highest CTE values.</w:t>
      </w:r>
    </w:p>
    <w:p w:rsidR="004774B9" w:rsidRDefault="004774B9" w:rsidP="005E11F5"/>
    <w:p w:rsidR="004774B9" w:rsidRPr="00C46653" w:rsidRDefault="004774B9" w:rsidP="005E11F5">
      <w:r>
        <w:t xml:space="preserve">The CTE is measured in accordance with AASHTO T 336, </w:t>
      </w:r>
      <w:r>
        <w:rPr>
          <w:i/>
        </w:rPr>
        <w:t xml:space="preserve">Standard Method of Test for Coefficient of Thermal Expansion of Hydraulic Cement Concrete.  </w:t>
      </w:r>
      <w:r>
        <w:t>In this test method, a saturated cylindrical concrete specimen is submerged in water and subjected to tem</w:t>
      </w:r>
      <w:r w:rsidR="001B5750">
        <w:t>perature changes from 50 to 120</w:t>
      </w:r>
      <w:r>
        <w:rPr>
          <w:vertAlign w:val="superscript"/>
        </w:rPr>
        <w:t>o</w:t>
      </w:r>
      <w:r>
        <w:t xml:space="preserve">F.  The change in length of the cylinder is recorded at </w:t>
      </w:r>
      <w:r w:rsidR="00BD28D7">
        <w:t xml:space="preserve">the two </w:t>
      </w:r>
      <w:r>
        <w:t>temperature</w:t>
      </w:r>
      <w:r w:rsidR="00BD28D7">
        <w:t xml:space="preserve"> extremes </w:t>
      </w:r>
      <w:r>
        <w:t>from which the CTE is calculated.</w:t>
      </w:r>
    </w:p>
    <w:p w:rsidR="004774B9" w:rsidRDefault="004774B9" w:rsidP="005E11F5"/>
    <w:p w:rsidR="004774B9" w:rsidRDefault="004774B9" w:rsidP="005E11F5">
      <w:r>
        <w:t>The CTE has a significant impact on the generation of temperature curling stresses caused by the temperature differential that exist across the slab depth from the surface to the bottom</w:t>
      </w:r>
      <w:r w:rsidR="00F13D9B">
        <w:t xml:space="preserve"> of the slab</w:t>
      </w:r>
      <w:r>
        <w:t xml:space="preserve">.  </w:t>
      </w:r>
      <w:r w:rsidR="00B55EC9">
        <w:t>concrete</w:t>
      </w:r>
      <w:r w:rsidR="00F13D9B">
        <w:t xml:space="preserve"> with </w:t>
      </w:r>
      <w:r>
        <w:t>high</w:t>
      </w:r>
      <w:r w:rsidR="00F13D9B">
        <w:t>er</w:t>
      </w:r>
      <w:r>
        <w:t xml:space="preserve"> CTE</w:t>
      </w:r>
      <w:r w:rsidR="00F13D9B">
        <w:t xml:space="preserve"> have</w:t>
      </w:r>
      <w:r w:rsidR="001B5750">
        <w:t xml:space="preserve"> </w:t>
      </w:r>
      <w:r w:rsidR="00AA6797">
        <w:t xml:space="preserve">the potential for </w:t>
      </w:r>
      <w:r w:rsidR="00F13D9B">
        <w:t>wider</w:t>
      </w:r>
      <w:r w:rsidR="00AA6797">
        <w:t xml:space="preserve"> joint and crack openings, and </w:t>
      </w:r>
      <w:r w:rsidR="00F13D9B">
        <w:t xml:space="preserve">higher </w:t>
      </w:r>
      <w:r w:rsidR="00AA6797">
        <w:t>cracking</w:t>
      </w:r>
      <w:r w:rsidR="00F13D9B">
        <w:t xml:space="preserve"> potential.</w:t>
      </w:r>
    </w:p>
    <w:p w:rsidR="004774B9" w:rsidRDefault="004774B9" w:rsidP="005E11F5"/>
    <w:p w:rsidR="004774B9" w:rsidRDefault="004774B9" w:rsidP="00436095">
      <w:pPr>
        <w:pStyle w:val="Heading4"/>
      </w:pPr>
      <w:bookmarkStart w:id="174" w:name="_Toc295918673"/>
      <w:r>
        <w:t xml:space="preserve">Shrinkage and </w:t>
      </w:r>
      <w:r w:rsidR="001B5750">
        <w:t>C</w:t>
      </w:r>
      <w:r>
        <w:t xml:space="preserve">racking </w:t>
      </w:r>
      <w:r w:rsidR="001B5750">
        <w:t>T</w:t>
      </w:r>
      <w:r>
        <w:t>endency</w:t>
      </w:r>
      <w:bookmarkEnd w:id="174"/>
    </w:p>
    <w:p w:rsidR="004774B9" w:rsidRDefault="004774B9" w:rsidP="005E11F5">
      <w:r>
        <w:t xml:space="preserve">As </w:t>
      </w:r>
      <w:r w:rsidR="00B55EC9">
        <w:t>concrete</w:t>
      </w:r>
      <w:r>
        <w:t xml:space="preserve"> cures over time, various mechanisms result in shrinkage.  Total shrinkage will be the sum of the following shrinkage mechanisms:</w:t>
      </w:r>
    </w:p>
    <w:p w:rsidR="004774B9" w:rsidRDefault="004774B9" w:rsidP="005E11F5"/>
    <w:p w:rsidR="004774B9" w:rsidRDefault="004774B9" w:rsidP="005B140A">
      <w:pPr>
        <w:pStyle w:val="ListParagraph"/>
        <w:numPr>
          <w:ilvl w:val="0"/>
          <w:numId w:val="16"/>
        </w:numPr>
        <w:tabs>
          <w:tab w:val="left" w:pos="720"/>
        </w:tabs>
        <w:adjustRightInd w:val="0"/>
        <w:ind w:left="720"/>
        <w:rPr>
          <w:spacing w:val="-2"/>
        </w:rPr>
      </w:pPr>
      <w:r>
        <w:rPr>
          <w:spacing w:val="-2"/>
        </w:rPr>
        <w:t xml:space="preserve">Autogenous shrinkage – Occurs at a very early age due to self desiccation of the cement paste.  It becomes important in concrete mixtures with a </w:t>
      </w:r>
      <w:r>
        <w:rPr>
          <w:i/>
          <w:spacing w:val="-2"/>
        </w:rPr>
        <w:t>w/cm</w:t>
      </w:r>
      <w:r>
        <w:rPr>
          <w:spacing w:val="-2"/>
        </w:rPr>
        <w:t xml:space="preserve"> less than 0.40 and can result in microcracking if left unchecked.  ASTM C1698, </w:t>
      </w:r>
      <w:r>
        <w:rPr>
          <w:i/>
          <w:spacing w:val="-2"/>
        </w:rPr>
        <w:t>Standard Test Method for Autogenous Strain of Cement Paste and Mortar</w:t>
      </w:r>
      <w:r>
        <w:rPr>
          <w:spacing w:val="-2"/>
        </w:rPr>
        <w:t xml:space="preserve"> is used to assess the autogenous shrinkage potential of cementitious systems and mortars.</w:t>
      </w:r>
    </w:p>
    <w:p w:rsidR="004774B9" w:rsidRDefault="004774B9" w:rsidP="005B140A">
      <w:pPr>
        <w:pStyle w:val="ListParagraph"/>
        <w:numPr>
          <w:ilvl w:val="0"/>
          <w:numId w:val="16"/>
        </w:numPr>
        <w:tabs>
          <w:tab w:val="left" w:pos="720"/>
        </w:tabs>
        <w:adjustRightInd w:val="0"/>
        <w:ind w:left="720"/>
        <w:rPr>
          <w:spacing w:val="-2"/>
        </w:rPr>
      </w:pPr>
      <w:r>
        <w:rPr>
          <w:spacing w:val="-2"/>
        </w:rPr>
        <w:t>Plastic shrinkage – Plastic shrinkage occurs prior to setting due to loss of moisture to the environment.  It is most critical on members with high surface area to volume ratios such as slabs and can cause plastic shrinkage cracking if not addressed by preventing excessive evaporation prior to setting.</w:t>
      </w:r>
    </w:p>
    <w:p w:rsidR="004774B9" w:rsidRPr="00B17987" w:rsidRDefault="004774B9" w:rsidP="005B140A">
      <w:pPr>
        <w:pStyle w:val="ListParagraph"/>
        <w:numPr>
          <w:ilvl w:val="0"/>
          <w:numId w:val="16"/>
        </w:numPr>
        <w:tabs>
          <w:tab w:val="left" w:pos="720"/>
        </w:tabs>
        <w:adjustRightInd w:val="0"/>
        <w:ind w:left="720"/>
        <w:rPr>
          <w:spacing w:val="-2"/>
        </w:rPr>
      </w:pPr>
      <w:r>
        <w:rPr>
          <w:spacing w:val="-2"/>
        </w:rPr>
        <w:t xml:space="preserve">Drying shrinkage – Drying shrinkage occurs after the concrete has set due to continued loss of moisture to the environment.  If the shrinkage is restrained, as it almost always is, the shrinkage can result in drying shrinkage cracking.  Mixtures with high water content are more prone to drying shrinkage.  AASHTO T 160 (ASTM C157), </w:t>
      </w:r>
      <w:r>
        <w:rPr>
          <w:i/>
          <w:spacing w:val="-2"/>
        </w:rPr>
        <w:t>Standard Method of Test for Length Change of Hardened Hydraulic Ceme</w:t>
      </w:r>
      <w:r w:rsidR="00042496">
        <w:rPr>
          <w:i/>
          <w:spacing w:val="-2"/>
        </w:rPr>
        <w:t>n</w:t>
      </w:r>
      <w:r>
        <w:rPr>
          <w:i/>
          <w:spacing w:val="-2"/>
        </w:rPr>
        <w:t>t Mortar and Concrete.</w:t>
      </w:r>
    </w:p>
    <w:p w:rsidR="004774B9" w:rsidRDefault="004774B9" w:rsidP="004774B9">
      <w:pPr>
        <w:tabs>
          <w:tab w:val="left" w:pos="720"/>
        </w:tabs>
        <w:adjustRightInd w:val="0"/>
        <w:rPr>
          <w:spacing w:val="-2"/>
        </w:rPr>
      </w:pPr>
    </w:p>
    <w:p w:rsidR="004774B9" w:rsidRPr="00B17987" w:rsidRDefault="004774B9" w:rsidP="005E11F5">
      <w:r>
        <w:t xml:space="preserve">The cracking tendency of concrete is a more difficult thing to assess as it is related to both the strength of the </w:t>
      </w:r>
      <w:r w:rsidR="00B55EC9">
        <w:t>concrete</w:t>
      </w:r>
      <w:r>
        <w:t xml:space="preserve"> and its stiffness.  </w:t>
      </w:r>
      <w:r w:rsidR="003D5DBC">
        <w:t>T</w:t>
      </w:r>
      <w:r>
        <w:t xml:space="preserve">est standard, AASHTO </w:t>
      </w:r>
      <w:r w:rsidR="003D5DBC">
        <w:t>T334</w:t>
      </w:r>
      <w:r>
        <w:t xml:space="preserve">, </w:t>
      </w:r>
      <w:r>
        <w:rPr>
          <w:i/>
        </w:rPr>
        <w:t>Standard Practice for Estimating the Cracking Tendency of Concrete</w:t>
      </w:r>
      <w:r>
        <w:t xml:space="preserve"> continues to be evaluated but results to date have been variable.</w:t>
      </w:r>
    </w:p>
    <w:p w:rsidR="004774B9" w:rsidRPr="00E53BCE" w:rsidRDefault="004774B9" w:rsidP="004774B9">
      <w:pPr>
        <w:adjustRightInd w:val="0"/>
        <w:rPr>
          <w:spacing w:val="-2"/>
        </w:rPr>
      </w:pPr>
    </w:p>
    <w:p w:rsidR="004774B9" w:rsidRDefault="004774B9" w:rsidP="00436095">
      <w:pPr>
        <w:pStyle w:val="Heading4"/>
      </w:pPr>
      <w:bookmarkStart w:id="175" w:name="_Toc295918674"/>
      <w:r>
        <w:t>Permeability</w:t>
      </w:r>
      <w:bookmarkEnd w:id="175"/>
    </w:p>
    <w:p w:rsidR="004774B9" w:rsidRDefault="004774B9" w:rsidP="005E11F5">
      <w:r>
        <w:t>Permeability of concrete is not an easy parameter to measure due to the relative impermeability of the material.  Even so, a number of methods have been established to assess the penetration of fluids into concrete, most of which are focused on chloride penetration as it results in corrosion of embedded steel.</w:t>
      </w:r>
    </w:p>
    <w:p w:rsidR="004774B9" w:rsidRDefault="004774B9" w:rsidP="005E11F5"/>
    <w:p w:rsidR="004774B9" w:rsidRDefault="004774B9" w:rsidP="005B140A">
      <w:pPr>
        <w:pStyle w:val="ListParagraph"/>
        <w:numPr>
          <w:ilvl w:val="0"/>
          <w:numId w:val="21"/>
        </w:numPr>
      </w:pPr>
      <w:r>
        <w:t>AASHTO T 259</w:t>
      </w:r>
      <w:r w:rsidR="001B5750" w:rsidRPr="001B5750">
        <w:t xml:space="preserve"> </w:t>
      </w:r>
      <w:r w:rsidR="001B5750">
        <w:t xml:space="preserve">(ASTM C1543), </w:t>
      </w:r>
      <w:r w:rsidR="001B5750" w:rsidRPr="001B5750">
        <w:rPr>
          <w:i/>
        </w:rPr>
        <w:t xml:space="preserve">Standard Method of Test for </w:t>
      </w:r>
      <w:r w:rsidR="00537BE7">
        <w:rPr>
          <w:i/>
        </w:rPr>
        <w:t>Resistance of Concrete to Chloride Ion Penetration</w:t>
      </w:r>
      <w:r>
        <w:t xml:space="preserve"> was a popular test used for decades by many highway agencies. </w:t>
      </w:r>
      <w:r w:rsidR="001B5750">
        <w:t xml:space="preserve"> </w:t>
      </w:r>
      <w:r>
        <w:t>A concrete slab is cast and moist cured for 14 days, then air cured to 28 days.</w:t>
      </w:r>
      <w:r w:rsidR="001B5750">
        <w:t xml:space="preserve"> </w:t>
      </w:r>
      <w:r>
        <w:t xml:space="preserve"> The top surface is broomed and ponded with a salt solution for 90 days. </w:t>
      </w:r>
      <w:r w:rsidR="001B5750">
        <w:t xml:space="preserve"> </w:t>
      </w:r>
      <w:r>
        <w:t>Cores are then taken from the exposed surface and sliced into approximately half-</w:t>
      </w:r>
      <w:r w:rsidR="00DF35C4">
        <w:t>in.</w:t>
      </w:r>
      <w:r>
        <w:t xml:space="preserve"> thick discs. </w:t>
      </w:r>
      <w:r w:rsidR="001B5750">
        <w:t xml:space="preserve"> </w:t>
      </w:r>
      <w:r>
        <w:t xml:space="preserve">Each disc is crushed and the chloride content of each layer is chemically determined. </w:t>
      </w:r>
      <w:r w:rsidR="001B5750">
        <w:t xml:space="preserve"> </w:t>
      </w:r>
      <w:r>
        <w:t xml:space="preserve">Unfortunately, this test requires almost six months and there is no clear way provided for interpretation of the results in the method. </w:t>
      </w:r>
      <w:r w:rsidR="001B5750">
        <w:t xml:space="preserve"> </w:t>
      </w:r>
      <w:r>
        <w:t>Transport mechanisms in this test also include undefined components of absorption,</w:t>
      </w:r>
      <w:r w:rsidR="005E11F5">
        <w:t xml:space="preserve"> diffusion, and wicking action.</w:t>
      </w:r>
    </w:p>
    <w:p w:rsidR="00537BE7" w:rsidRDefault="00537BE7" w:rsidP="005B140A">
      <w:pPr>
        <w:pStyle w:val="ListParagraph"/>
        <w:numPr>
          <w:ilvl w:val="0"/>
          <w:numId w:val="21"/>
        </w:numPr>
      </w:pPr>
      <w:r>
        <w:t xml:space="preserve">AASHTO TP 95, </w:t>
      </w:r>
      <w:r w:rsidRPr="00537BE7">
        <w:rPr>
          <w:i/>
        </w:rPr>
        <w:t>Standard Method of Test for Surface Resistivity Indication of Concrete’s Ability to Resist Chloride Ion Penetration</w:t>
      </w:r>
      <w:r>
        <w:t>.</w:t>
      </w:r>
    </w:p>
    <w:p w:rsidR="004774B9" w:rsidRDefault="004774B9" w:rsidP="001B5750">
      <w:pPr>
        <w:pStyle w:val="ListParagraph"/>
        <w:numPr>
          <w:ilvl w:val="0"/>
          <w:numId w:val="21"/>
        </w:numPr>
        <w:tabs>
          <w:tab w:val="left" w:pos="1080"/>
        </w:tabs>
        <w:adjustRightInd w:val="0"/>
      </w:pPr>
      <w:r w:rsidRPr="006902B0">
        <w:rPr>
          <w:spacing w:val="-2"/>
        </w:rPr>
        <w:t>AASHTO T</w:t>
      </w:r>
      <w:r w:rsidR="00537BE7">
        <w:rPr>
          <w:spacing w:val="-2"/>
        </w:rPr>
        <w:t xml:space="preserve"> </w:t>
      </w:r>
      <w:r w:rsidRPr="006902B0">
        <w:rPr>
          <w:spacing w:val="-2"/>
        </w:rPr>
        <w:t xml:space="preserve">277 (ASTM C1202), </w:t>
      </w:r>
      <w:r w:rsidRPr="006902B0">
        <w:rPr>
          <w:i/>
          <w:spacing w:val="-2"/>
        </w:rPr>
        <w:t>Standard Method of Test for Electrical Indication of Concrete’s Ability to Resist Chloride Ion Penetration</w:t>
      </w:r>
      <w:r w:rsidR="001B5750" w:rsidRPr="006902B0">
        <w:rPr>
          <w:i/>
          <w:spacing w:val="-2"/>
        </w:rPr>
        <w:t xml:space="preserve">.  </w:t>
      </w:r>
      <w:r>
        <w:t xml:space="preserve">This test provides excellent correlation to the results obtained by AASHTO T 259, </w:t>
      </w:r>
      <w:r w:rsidRPr="006902B0">
        <w:rPr>
          <w:i/>
        </w:rPr>
        <w:t>Standard Method of Test for Resistance of Concrete to Chloride Ion Penetration,</w:t>
      </w:r>
      <w:r>
        <w:t xml:space="preserve"> for a wide variety of concrete types and qualities.  One exception is concrete made with silica fume because the active pozzolanic nature of the material makes it seem more impermeable to chloride ion penetration than it really is.  Another exception is concrete made with certain admixtures that affect the electrical conductivity of the mixture, including calcium chloride or calcium nitrite.  Regardless, the rapidity, ease of use, and reliability make this test very attractive when investigating not only the chloride ion permeability characteristics of concrete, but also to assess permeability in general. </w:t>
      </w:r>
      <w:r w:rsidR="001B5750">
        <w:t xml:space="preserve"> </w:t>
      </w:r>
      <w:r>
        <w:t xml:space="preserve">Pavement concrete should have a qualitative permeability not greater than low, and in aggressive </w:t>
      </w:r>
      <w:bookmarkStart w:id="176" w:name="_Ref398375621"/>
      <w:bookmarkStart w:id="177" w:name="_Toc399768398"/>
      <w:r>
        <w:t>environments (exposure to chemical deicers, sulfates, etc.), a qualitative rating of very low or less is desirable.</w:t>
      </w:r>
      <w:r w:rsidR="006902B0">
        <w:t xml:space="preserve">  </w:t>
      </w:r>
      <w:bookmarkEnd w:id="176"/>
      <w:bookmarkEnd w:id="177"/>
      <w:r>
        <w:t xml:space="preserve">Although this test has been embraced by many SHAs due to its ease of use, it suffers some limitations that make it impractical when evaluating some mixtures.  The three main limitations are: 1) the current passed is related to all ions in the pore solution and not just chloride ions, 2) the measurements are made before a steady-state migration is achieved, and 3) the temperature of the specimen increases due to the applied voltage.  The first limitation is most problematic for the assessment of concrete permeability in mixtures containing various admixtures (e.g., accelerators, etc.) that will affect the ion concentration of the pore solution. </w:t>
      </w:r>
    </w:p>
    <w:p w:rsidR="004774B9" w:rsidRDefault="004774B9" w:rsidP="005B140A">
      <w:pPr>
        <w:pStyle w:val="ListParagraph"/>
        <w:numPr>
          <w:ilvl w:val="0"/>
          <w:numId w:val="21"/>
        </w:numPr>
        <w:tabs>
          <w:tab w:val="left" w:pos="1080"/>
        </w:tabs>
        <w:adjustRightInd w:val="0"/>
      </w:pPr>
      <w:r>
        <w:t xml:space="preserve">ASTM C1556, </w:t>
      </w:r>
      <w:r w:rsidRPr="000A1F44">
        <w:rPr>
          <w:i/>
        </w:rPr>
        <w:t>Standard Test Method for Determining the Apparent Bulk Diffusion Coefficient of Cementitious Mixtures by Bulk Diffusion</w:t>
      </w:r>
      <w:r w:rsidR="000A1F44" w:rsidRPr="000A1F44">
        <w:rPr>
          <w:i/>
        </w:rPr>
        <w:t xml:space="preserve">.  </w:t>
      </w:r>
      <w:r>
        <w:t>ASTM C1556 is a more rigorous method than AASHTO T 277</w:t>
      </w:r>
      <w:r w:rsidR="00C54262">
        <w:t>,</w:t>
      </w:r>
      <w:r>
        <w:t xml:space="preserve"> for the calculation of concrete permeability.  In this test the depth of chloride penetration is measured starting after 35 days of soaking in a chloride solution by grinding away successive layers from the specimen and chemically analyzing them.  Although the test is accurate, it is time consuming, taking over three months to complete.</w:t>
      </w:r>
    </w:p>
    <w:p w:rsidR="004774B9" w:rsidRDefault="004774B9" w:rsidP="005B140A">
      <w:pPr>
        <w:pStyle w:val="ListParagraph"/>
        <w:numPr>
          <w:ilvl w:val="0"/>
          <w:numId w:val="21"/>
        </w:numPr>
        <w:tabs>
          <w:tab w:val="left" w:pos="1080"/>
        </w:tabs>
        <w:adjustRightInd w:val="0"/>
      </w:pPr>
      <w:r>
        <w:t xml:space="preserve">AASHTO TP 64, </w:t>
      </w:r>
      <w:r w:rsidRPr="000A1F44">
        <w:rPr>
          <w:i/>
        </w:rPr>
        <w:t xml:space="preserve">Standard Method of Test for </w:t>
      </w:r>
      <w:r w:rsidRPr="000A1F44">
        <w:rPr>
          <w:rStyle w:val="Emphasis"/>
          <w:i w:val="0"/>
        </w:rPr>
        <w:t>P</w:t>
      </w:r>
      <w:r>
        <w:rPr>
          <w:rStyle w:val="Emphasis"/>
        </w:rPr>
        <w:t>redicting Chloride Penetration of Hydraulic Cement Concrete by the Rapid Migration Procedure</w:t>
      </w:r>
      <w:r w:rsidR="000A1F44">
        <w:rPr>
          <w:rStyle w:val="Emphasis"/>
        </w:rPr>
        <w:t xml:space="preserve">.  </w:t>
      </w:r>
      <w:r>
        <w:t>In AASHTO TP 64,</w:t>
      </w:r>
      <w:r>
        <w:rPr>
          <w:rStyle w:val="Emphasis"/>
        </w:rPr>
        <w:t xml:space="preserve"> </w:t>
      </w:r>
      <w:r>
        <w:t>a 2-</w:t>
      </w:r>
      <w:r w:rsidR="00DF35C4">
        <w:t>in.</w:t>
      </w:r>
      <w:r>
        <w:t xml:space="preserve"> long, 4-</w:t>
      </w:r>
      <w:r w:rsidR="00DF35C4">
        <w:t>in.</w:t>
      </w:r>
      <w:r>
        <w:t xml:space="preserve"> diameter concrete sample is saturated using the vacuum saturation procedure of </w:t>
      </w:r>
      <w:r w:rsidR="00C54262">
        <w:t>AASHTO T 277</w:t>
      </w:r>
      <w:r>
        <w:t>, with voltage applied across the specimen to rapidly drive chloride ions into the concrete.  After 18-hours, the concrete specimen is split and the depth of chloride penetration assessed using a silver nitrate solution.</w:t>
      </w:r>
      <w:r w:rsidR="000A1F44">
        <w:t xml:space="preserve"> </w:t>
      </w:r>
      <w:r>
        <w:t xml:space="preserve"> This test ranks multiple concretes in the same order as ASTM C1202, but has the advantage of not being influenced by strongly ionic admixtures, such as calcium nitrite. </w:t>
      </w:r>
      <w:r w:rsidR="000A1F44">
        <w:t xml:space="preserve"> </w:t>
      </w:r>
      <w:r>
        <w:t>As well, the specimen does not experience a temperature rise during the test.</w:t>
      </w:r>
      <w:r w:rsidR="000A1F44">
        <w:t xml:space="preserve"> </w:t>
      </w:r>
      <w:r>
        <w:t xml:space="preserve"> The test also has been shown to have a somewhat lower variability than the RCPT.</w:t>
      </w:r>
    </w:p>
    <w:p w:rsidR="004774B9" w:rsidRDefault="004774B9" w:rsidP="005B140A">
      <w:pPr>
        <w:pStyle w:val="ListParagraph"/>
        <w:numPr>
          <w:ilvl w:val="0"/>
          <w:numId w:val="21"/>
        </w:numPr>
        <w:tabs>
          <w:tab w:val="left" w:pos="1080"/>
        </w:tabs>
        <w:adjustRightInd w:val="0"/>
      </w:pPr>
      <w:r>
        <w:t xml:space="preserve">ASTM C642, </w:t>
      </w:r>
      <w:r w:rsidRPr="000A1F44">
        <w:rPr>
          <w:i/>
        </w:rPr>
        <w:t>Standard Test Method for Specific Gravity, Absorption, and Voids in Hardened Concrete</w:t>
      </w:r>
      <w:r w:rsidR="000A1F44" w:rsidRPr="000A1F44">
        <w:rPr>
          <w:i/>
        </w:rPr>
        <w:t xml:space="preserve">.  </w:t>
      </w:r>
      <w:r>
        <w:t>Porosity is a measure of the proportion of the total volume of pore space in concrete irrespective of the interconnectivity of the pores.  Absorption tests can be used to measure porosity, but the degree of interconnectivity between the pores influences the measured absorptivity.  Thus, although porosity and absorptivity are commonly correlated, there is not a direct relationship. A variety of techniques are used for determining the absorption rate of concrete.  One common test is ASTM C 642, which entails drying a concrete specimen at 212 to 230</w:t>
      </w:r>
      <w:r w:rsidRPr="000A1F44">
        <w:rPr>
          <w:vertAlign w:val="superscript"/>
        </w:rPr>
        <w:t>o</w:t>
      </w:r>
      <w:r>
        <w:t>F and then immersing it in water at 70</w:t>
      </w:r>
      <w:r w:rsidRPr="000A1F44">
        <w:rPr>
          <w:vertAlign w:val="superscript"/>
        </w:rPr>
        <w:t>o</w:t>
      </w:r>
      <w:r>
        <w:t>f for at least 48 h</w:t>
      </w:r>
      <w:r w:rsidR="000A1F44">
        <w:t>ou</w:t>
      </w:r>
      <w:r>
        <w:t>r</w:t>
      </w:r>
      <w:r w:rsidR="000A1F44">
        <w:t>s</w:t>
      </w:r>
      <w:r>
        <w:t>.  This type of test is commonly used as a quality co</w:t>
      </w:r>
      <w:r w:rsidR="000A1F44">
        <w:t>ntrol test for precast members.</w:t>
      </w:r>
    </w:p>
    <w:p w:rsidR="004774B9" w:rsidRDefault="004774B9" w:rsidP="005B140A">
      <w:pPr>
        <w:pStyle w:val="ListParagraph"/>
        <w:numPr>
          <w:ilvl w:val="0"/>
          <w:numId w:val="21"/>
        </w:numPr>
        <w:tabs>
          <w:tab w:val="left" w:pos="1080"/>
        </w:tabs>
        <w:adjustRightInd w:val="0"/>
      </w:pPr>
      <w:r>
        <w:t xml:space="preserve">ASTM C1585, </w:t>
      </w:r>
      <w:r w:rsidRPr="000A1F44">
        <w:rPr>
          <w:i/>
        </w:rPr>
        <w:t>Standard Test Method for Measurement of Rate of Absorption of Water by Hydraulic-Cement Concretes</w:t>
      </w:r>
      <w:r w:rsidR="000A1F44" w:rsidRPr="000A1F44">
        <w:rPr>
          <w:i/>
        </w:rPr>
        <w:t xml:space="preserve">.  </w:t>
      </w:r>
      <w:r>
        <w:t>As a result of shortcomings in common absorption testing procedures (e.g., ASTM C 642), there has been movement toward a type of testing known as sorptivity testing.  Sorptivity testing measures the rate of absorption by capillary suction of water into the concrete.  Generally, it is too difficult to mathematically model this flow in all but a single direction, and thus sorptivity tests are configured to establish one directional flow into the specimen.  Sorptivity tests typically require that the sample be at a standard moisture content before testing is begun.  The benefits of sorptivity testing are reduced time, low cost of equipment, and simplicity of procedure.  ASTM C1585 requires only a scale, a stopwatch, and a shallow pan of water.  One attractive feature of this approach is that the sample is conditioned for 7 days, with the temperature never exceeding 122</w:t>
      </w:r>
      <w:r w:rsidRPr="000A1F44">
        <w:rPr>
          <w:vertAlign w:val="superscript"/>
        </w:rPr>
        <w:t>o</w:t>
      </w:r>
      <w:r>
        <w:t>F.  This is important since damage to the concrete microstructure can result at the higher drying temperatures (212</w:t>
      </w:r>
      <w:r w:rsidRPr="000A1F44">
        <w:rPr>
          <w:vertAlign w:val="superscript"/>
        </w:rPr>
        <w:t>o</w:t>
      </w:r>
      <w:r>
        <w:t>F or higher) recommended in other test methods, thus biasing the test results.  Data reduction includes plotting the gain in mass per unit area over the density of water versus the square root of elapsed time, with the slope of the best-fit line being reported as sorptivity.</w:t>
      </w:r>
    </w:p>
    <w:p w:rsidR="004774B9" w:rsidRPr="00221854" w:rsidRDefault="004774B9" w:rsidP="004774B9">
      <w:pPr>
        <w:adjustRightInd w:val="0"/>
        <w:rPr>
          <w:spacing w:val="-2"/>
        </w:rPr>
      </w:pPr>
    </w:p>
    <w:p w:rsidR="00074FC1" w:rsidRDefault="00074FC1" w:rsidP="00074FC1">
      <w:pPr>
        <w:pStyle w:val="Heading4"/>
      </w:pPr>
      <w:r>
        <w:t>Durability</w:t>
      </w:r>
    </w:p>
    <w:p w:rsidR="004774B9" w:rsidRDefault="004774B9" w:rsidP="005E11F5">
      <w:r>
        <w:t>A number of test methods have been specifically established to assess durability requirements of cement and concrete.  These can be categorized as test for freeze-thaw susceptibility, alkali-aggregate reactivity, and sulfate resistance.</w:t>
      </w:r>
    </w:p>
    <w:p w:rsidR="000A1F44" w:rsidRDefault="000A1F44" w:rsidP="005E11F5"/>
    <w:p w:rsidR="004774B9" w:rsidRDefault="004774B9" w:rsidP="00436095">
      <w:pPr>
        <w:pStyle w:val="Heading5"/>
      </w:pPr>
      <w:r>
        <w:t>Freeze-</w:t>
      </w:r>
      <w:r w:rsidR="000A1F44">
        <w:t>T</w:t>
      </w:r>
      <w:r>
        <w:t xml:space="preserve">haw </w:t>
      </w:r>
      <w:r w:rsidR="000A1F44">
        <w:t>S</w:t>
      </w:r>
      <w:r>
        <w:t>usceptibility</w:t>
      </w:r>
    </w:p>
    <w:p w:rsidR="002544CC" w:rsidRDefault="004774B9" w:rsidP="002544CC">
      <w:r>
        <w:t>As described, the concrete paste is protected against freeze-thaw damage through the entrainment of an acceptable air-void system.  Aggregates must also b</w:t>
      </w:r>
      <w:r w:rsidR="000A1F44">
        <w:t>e durable to avoid D-cracking.</w:t>
      </w:r>
      <w:r w:rsidR="002544CC">
        <w:t xml:space="preserve">  D-cracking is characterized by the formation of staining, cracks running parallel to the slab edges, and ultimately joint spalling/disintegration</w:t>
      </w:r>
      <w:r w:rsidR="00F11FDC">
        <w:t xml:space="preserve"> (Figure 3-28)</w:t>
      </w:r>
      <w:r w:rsidR="002544CC">
        <w:t xml:space="preserve">.  The typical cracking and staining is shown in </w:t>
      </w:r>
      <w:r w:rsidR="00C54262">
        <w:t xml:space="preserve">Figure 3-28. </w:t>
      </w:r>
      <w:r w:rsidR="002544CC">
        <w:t xml:space="preserve"> Aggregates most susceptible to this type of distress have fine pores but relatively high porosity.  Although a number of methods are available to assess the freeze-thaw susceptibility of aggregates, the most common is AASHTO T 161, </w:t>
      </w:r>
      <w:r w:rsidR="002544CC">
        <w:rPr>
          <w:i/>
        </w:rPr>
        <w:t>Resistance of Concrete to Rapid Freezing and Thawing</w:t>
      </w:r>
      <w:r w:rsidR="002544CC">
        <w:t xml:space="preserve">.  In this test, </w:t>
      </w:r>
      <w:r w:rsidR="00B55EC9">
        <w:t>concrete</w:t>
      </w:r>
      <w:r w:rsidR="002544CC">
        <w:t xml:space="preserve"> beams are made with the aggregates in question and subjected to rapid and repeated freeze-thaw cycles.  The beams </w:t>
      </w:r>
      <w:r w:rsidR="00321790">
        <w:t>are</w:t>
      </w:r>
      <w:r w:rsidR="002544CC">
        <w:t xml:space="preserve"> measured periodically through the testing sequence, from which a Durability Factor (DF) is computed as </w:t>
      </w:r>
      <w:r w:rsidR="00831380">
        <w:t>the</w:t>
      </w:r>
      <w:r w:rsidR="002544CC">
        <w:t xml:space="preserve"> ratio of the </w:t>
      </w:r>
      <w:r w:rsidR="00831380">
        <w:t xml:space="preserve">relative </w:t>
      </w:r>
      <w:r w:rsidR="002544CC">
        <w:t>dynamic modulus</w:t>
      </w:r>
      <w:r w:rsidR="00831380">
        <w:t xml:space="preserve"> of elasticity</w:t>
      </w:r>
      <w:r w:rsidR="002544CC">
        <w:t xml:space="preserve"> at 300 cycles to the initial </w:t>
      </w:r>
      <w:r w:rsidR="00831380">
        <w:t xml:space="preserve">relative </w:t>
      </w:r>
      <w:r w:rsidR="002544CC">
        <w:t>dynamic modulus</w:t>
      </w:r>
      <w:r w:rsidR="00831380">
        <w:t xml:space="preserve"> of elasticity</w:t>
      </w:r>
      <w:r w:rsidR="002544CC">
        <w:t xml:space="preserve">.  </w:t>
      </w:r>
      <w:r w:rsidR="00831380">
        <w:t xml:space="preserve">The relative dynamic modulus of elasticity is related to the resonant frequency and density of the concrete mixture.  </w:t>
      </w:r>
      <w:r w:rsidR="002544CC">
        <w:t>Alternatively, some states measure the expansion of the beam and report it as dilation.</w:t>
      </w:r>
    </w:p>
    <w:p w:rsidR="002544CC" w:rsidRDefault="002544CC" w:rsidP="002544CC"/>
    <w:p w:rsidR="002544CC" w:rsidRDefault="002544CC" w:rsidP="002544CC">
      <w:pPr>
        <w:adjustRightInd w:val="0"/>
        <w:ind w:left="720"/>
        <w:jc w:val="center"/>
        <w:rPr>
          <w:spacing w:val="-2"/>
        </w:rPr>
      </w:pPr>
      <w:r>
        <w:rPr>
          <w:noProof/>
          <w:spacing w:val="-2"/>
        </w:rPr>
        <w:drawing>
          <wp:inline distT="0" distB="0" distL="0" distR="0">
            <wp:extent cx="3657600" cy="2743200"/>
            <wp:effectExtent l="19050" t="0" r="0" b="0"/>
            <wp:docPr id="13" name="Picture 29" descr="RW 11--1 Durability crac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W 11--1 Durability cracking"/>
                    <pic:cNvPicPr>
                      <a:picLocks noChangeAspect="1" noChangeArrowheads="1"/>
                    </pic:cNvPicPr>
                  </pic:nvPicPr>
                  <pic:blipFill>
                    <a:blip r:embed="rId104" cstate="print"/>
                    <a:srcRect/>
                    <a:stretch>
                      <a:fillRect/>
                    </a:stretch>
                  </pic:blipFill>
                  <pic:spPr bwMode="auto">
                    <a:xfrm>
                      <a:off x="0" y="0"/>
                      <a:ext cx="3657600" cy="2743200"/>
                    </a:xfrm>
                    <a:prstGeom prst="rect">
                      <a:avLst/>
                    </a:prstGeom>
                    <a:noFill/>
                    <a:ln w="9525">
                      <a:noFill/>
                      <a:miter lim="800000"/>
                      <a:headEnd/>
                      <a:tailEnd/>
                    </a:ln>
                  </pic:spPr>
                </pic:pic>
              </a:graphicData>
            </a:graphic>
          </wp:inline>
        </w:drawing>
      </w:r>
    </w:p>
    <w:p w:rsidR="002544CC" w:rsidRDefault="002544CC" w:rsidP="002544CC">
      <w:pPr>
        <w:pStyle w:val="APTechFigureCaption"/>
      </w:pPr>
      <w:r>
        <w:t>Figure 3-</w:t>
      </w:r>
      <w:r w:rsidR="00CC4DEE">
        <w:t>28</w:t>
      </w:r>
      <w:r>
        <w:t>.  Durability cracking at Coles County Memorial Airport in Mattoon, IL.</w:t>
      </w:r>
    </w:p>
    <w:p w:rsidR="002544CC" w:rsidRDefault="002544CC" w:rsidP="005E11F5"/>
    <w:p w:rsidR="002544CC" w:rsidRDefault="002544CC" w:rsidP="005E11F5"/>
    <w:p w:rsidR="004774B9" w:rsidRDefault="004774B9" w:rsidP="005E11F5">
      <w:r w:rsidRPr="006113B4">
        <w:rPr>
          <w:spacing w:val="-2"/>
        </w:rPr>
        <w:t xml:space="preserve">ASTM C457, </w:t>
      </w:r>
      <w:r w:rsidRPr="006113B4">
        <w:rPr>
          <w:i/>
          <w:spacing w:val="-2"/>
        </w:rPr>
        <w:t xml:space="preserve">Standard </w:t>
      </w:r>
      <w:bookmarkStart w:id="178" w:name="_Toc399768847"/>
      <w:bookmarkStart w:id="179" w:name="_Toc433701881"/>
      <w:bookmarkStart w:id="180" w:name="_Toc490300190"/>
      <w:bookmarkStart w:id="181" w:name="_Toc3690802"/>
      <w:r w:rsidRPr="006113B4">
        <w:rPr>
          <w:i/>
        </w:rPr>
        <w:t>Practice for Microscopical Determination of Parameters of the Air-Void System in Hardened Concrete</w:t>
      </w:r>
      <w:bookmarkEnd w:id="178"/>
      <w:bookmarkEnd w:id="179"/>
      <w:bookmarkEnd w:id="180"/>
      <w:bookmarkEnd w:id="181"/>
      <w:r>
        <w:t xml:space="preserve"> is commonly used to assess the air-void distribution in hardened concrete.  Most often used as a diagnostic test, ASTM C457 could be applied during the mix design process to assess the adequacy of the air-void system.  It can also be conducted during construction on field cores.  This type of evaluation will assist in determining if incompatibilities between the various constituents have led to changes in the anticipated air-void system.  Test results could also be used as a baseline to determine if field construction is producing an air-void system consistently different than that produced in the l</w:t>
      </w:r>
      <w:r w:rsidR="005E11F5">
        <w:t>ab.</w:t>
      </w:r>
    </w:p>
    <w:p w:rsidR="005E11F5" w:rsidRDefault="005E11F5" w:rsidP="005E11F5"/>
    <w:p w:rsidR="004774B9" w:rsidRPr="006113B4" w:rsidRDefault="004774B9" w:rsidP="005E11F5">
      <w:pPr>
        <w:rPr>
          <w:b/>
          <w:i/>
        </w:rPr>
      </w:pPr>
      <w:bookmarkStart w:id="182" w:name="_Toc399768848"/>
      <w:bookmarkStart w:id="183" w:name="_Toc433701882"/>
      <w:bookmarkStart w:id="184" w:name="_Toc490300191"/>
      <w:bookmarkStart w:id="185" w:name="_Toc3690803"/>
      <w:r>
        <w:t>AASHTO T 161 (</w:t>
      </w:r>
      <w:r w:rsidRPr="006113B4">
        <w:t>ASTM C666</w:t>
      </w:r>
      <w:r>
        <w:t>)</w:t>
      </w:r>
      <w:r w:rsidRPr="006113B4">
        <w:t xml:space="preserve">, </w:t>
      </w:r>
      <w:r w:rsidRPr="00537BE7">
        <w:rPr>
          <w:i/>
        </w:rPr>
        <w:t>Standard T</w:t>
      </w:r>
      <w:r w:rsidRPr="000A1F44">
        <w:rPr>
          <w:i/>
        </w:rPr>
        <w:t>est Method for Resistance of Concrete to Rapid Freezing and Thawing</w:t>
      </w:r>
      <w:bookmarkEnd w:id="182"/>
      <w:bookmarkEnd w:id="183"/>
      <w:bookmarkEnd w:id="184"/>
      <w:bookmarkEnd w:id="185"/>
      <w:r w:rsidRPr="006113B4">
        <w:t>, is used to assess the resistance of concrete specimens to rapidly repeated cycles of freezing and thawing.  It is considered by many to be the best available test method for evaluating freeze-thaw resistance of aggregate, but it is not without its</w:t>
      </w:r>
      <w:r>
        <w:t xml:space="preserve"> critics</w:t>
      </w:r>
      <w:r w:rsidRPr="006113B4">
        <w:t>.  In this test method, concrete beams are prepared with the aggregate under evaluation and subjected to rapid freezing and thawing cycles.  In Procedure A, the specimens are frozen and thawed in water whereas in Procedure B freezing occurs in air while thawing is done in water.  Procedure A is the preferred method.  Many SHAs have modified this procedure to address their specific needs and observations.</w:t>
      </w:r>
    </w:p>
    <w:p w:rsidR="004774B9" w:rsidRDefault="004774B9" w:rsidP="005E11F5"/>
    <w:p w:rsidR="004774B9" w:rsidRDefault="004774B9" w:rsidP="005E11F5">
      <w:r>
        <w:t>Deterioration is measured through the reduction in the dynamic modulus of elasticity of the concrete, the linear expansion of the specimen, and/or through the weight loss incurred.  A number of SHAs use an expansion failure criterion of 0.035 percent in 350 freeze-thaw cycles or less to help indicate whether or not an aggregate is susceptible to freeze-thaw deterioration.  Others measure the change in dynamic modulus, calculating a durability factor (DF) which is the ratio of the measured dynamic modulus in the course of testing to the original dynamic modulus.  A DF of 80 or greater is an often cited acceptance criteria.</w:t>
      </w:r>
    </w:p>
    <w:p w:rsidR="004774B9" w:rsidRDefault="004774B9" w:rsidP="005E11F5"/>
    <w:p w:rsidR="004774B9" w:rsidRDefault="004774B9" w:rsidP="005E11F5">
      <w:r>
        <w:t xml:space="preserve">Criticism of the test method primarily centers on the fact that it is not representative of actual field conditions.  The concrete is saturated and then subjected to rapid freezing and thawing, which is unlikely to occur in the field.  Thus, although the test is able to rank aggregate from excellent to poor, it cannot be used reliably to predict the field performance of marginal aggregate.  Because the test is more severe than actual field conditions, aggregates that pass this test are generally going to perform well in the field.  But it may reject aggregate that has established good field performance. </w:t>
      </w:r>
    </w:p>
    <w:p w:rsidR="004774B9" w:rsidRPr="00892C93" w:rsidRDefault="004774B9" w:rsidP="005E11F5"/>
    <w:p w:rsidR="004774B9" w:rsidRDefault="004774B9" w:rsidP="005E11F5">
      <w:r w:rsidRPr="00892C93">
        <w:t xml:space="preserve">In the evaluation of aggregate, it is typical to make a standard mix (specified cement type, w/c, and air content) to compare aggregate performance.  But it is known that the full interaction of constituent materials cannot be easily anticipated, and thus freeze-thaw testing of concrete specimens made with the job mix formula and materials may be useful in identifying potential problems.  Unfortunately, this is a long-term test, requiring upwards of 3 months to conduct.  It therefore should be reserved for use when marginal aggregates are being considered. </w:t>
      </w:r>
    </w:p>
    <w:p w:rsidR="004774B9" w:rsidRDefault="004774B9" w:rsidP="005E11F5"/>
    <w:p w:rsidR="00D57782" w:rsidRDefault="004774B9" w:rsidP="000A1F44">
      <w:bookmarkStart w:id="186" w:name="_Toc399768849"/>
      <w:bookmarkStart w:id="187" w:name="_Toc433701883"/>
      <w:bookmarkStart w:id="188" w:name="_Toc490300192"/>
      <w:bookmarkStart w:id="189" w:name="_Toc3690804"/>
      <w:r w:rsidRPr="00892C93">
        <w:t xml:space="preserve">ASTM C672, </w:t>
      </w:r>
      <w:r w:rsidRPr="00892C93">
        <w:rPr>
          <w:i/>
        </w:rPr>
        <w:t>Standard Test Method for Scaling Resistance of Concrete Surfaces Exposed to Deicing Chemicals</w:t>
      </w:r>
      <w:bookmarkEnd w:id="186"/>
      <w:bookmarkEnd w:id="187"/>
      <w:bookmarkEnd w:id="188"/>
      <w:bookmarkEnd w:id="189"/>
      <w:r>
        <w:t>,</w:t>
      </w:r>
      <w:r w:rsidRPr="00892C93">
        <w:t xml:space="preserve"> is the most common test used to investigate the scaling potential of concrete.  In this test, a CaCl</w:t>
      </w:r>
      <w:r w:rsidRPr="00892C93">
        <w:rPr>
          <w:vertAlign w:val="subscript"/>
        </w:rPr>
        <w:t>2</w:t>
      </w:r>
      <w:r w:rsidRPr="00892C93">
        <w:t xml:space="preserve"> solution (other chemical deicers may be used) is ponded on the surface of rectangular concrete specimens that are then subjected to freeze-thaw cycling.  The specimen</w:t>
      </w:r>
      <w:r>
        <w:t>s are placed in a freezer (0</w:t>
      </w:r>
      <w:r w:rsidRPr="00892C93">
        <w:rPr>
          <w:vertAlign w:val="superscript"/>
        </w:rPr>
        <w:t>o</w:t>
      </w:r>
      <w:r>
        <w:t>F</w:t>
      </w:r>
      <w:r w:rsidRPr="00892C93">
        <w:t>) for 16 to 18 h</w:t>
      </w:r>
      <w:r w:rsidR="000A1F44">
        <w:t>ours</w:t>
      </w:r>
      <w:r w:rsidRPr="00892C93">
        <w:t xml:space="preserve"> and then manually removed to a thawing environment for 6 to 8 h</w:t>
      </w:r>
      <w:r w:rsidR="000A1F44">
        <w:t>ou</w:t>
      </w:r>
      <w:r>
        <w:t>r</w:t>
      </w:r>
      <w:r w:rsidR="000A1F44">
        <w:t>s</w:t>
      </w:r>
      <w:r w:rsidRPr="00892C93">
        <w:t>.</w:t>
      </w:r>
      <w:r w:rsidR="000A1F44">
        <w:t xml:space="preserve"> </w:t>
      </w:r>
      <w:r w:rsidRPr="00892C93">
        <w:t xml:space="preserve"> A surface layer of the water/salt solution is maintained at all times.  A visual inspection is made at 5, 10, 15, 20, 25, and 50 cycles.  The concrete is rated on a scale of 0 to 5 (0 is for concrete surfaces showing no sign of scaling and 5 is for a surface that is severely scaled with coarse aggregate visible over the entire surface).  The subjectivity inherent in the rating scale is one problem with this test.  As a result, it is becoming common for researchers to measure the mass of scaled material to gain a more objective measure of scaling resistance.</w:t>
      </w:r>
    </w:p>
    <w:p w:rsidR="00D57782" w:rsidRDefault="00D57782" w:rsidP="000A1F44"/>
    <w:p w:rsidR="004774B9" w:rsidRPr="0067340E" w:rsidRDefault="00D57782" w:rsidP="000A1F44">
      <w:r w:rsidRPr="0067340E">
        <w:t>Table 3-17 provides r</w:t>
      </w:r>
      <w:r w:rsidR="006902B0" w:rsidRPr="0067340E">
        <w:t>ecommendation for the to</w:t>
      </w:r>
      <w:r w:rsidR="004774B9" w:rsidRPr="0067340E">
        <w:t xml:space="preserve">tal air contents required for various </w:t>
      </w:r>
      <w:r w:rsidR="00B55EC9" w:rsidRPr="0067340E">
        <w:t>concrete</w:t>
      </w:r>
      <w:r w:rsidR="004774B9" w:rsidRPr="0067340E">
        <w:t xml:space="preserve"> mixtures in various exposure conditions.</w:t>
      </w:r>
    </w:p>
    <w:p w:rsidR="00D57782" w:rsidRDefault="00D57782" w:rsidP="00D57782">
      <w:pPr>
        <w:pStyle w:val="Heading9"/>
      </w:pPr>
      <w:bookmarkStart w:id="190" w:name="_Toc275090067"/>
      <w:r w:rsidRPr="0067340E">
        <w:t>Table 3-17.</w:t>
      </w:r>
      <w:r>
        <w:t xml:space="preserve">  Recommended air contents for concrete resistant to </w:t>
      </w:r>
      <w:r>
        <w:br/>
        <w:t>freezing and thawing (ACI 2008a).</w:t>
      </w:r>
      <w:bookmarkEnd w:id="190"/>
    </w:p>
    <w:tbl>
      <w:tblPr>
        <w:tblStyle w:val="TableGrid"/>
        <w:tblW w:w="8136" w:type="dxa"/>
        <w:jc w:val="center"/>
        <w:tblLook w:val="04A0" w:firstRow="1" w:lastRow="0" w:firstColumn="1" w:lastColumn="0" w:noHBand="0" w:noVBand="1"/>
      </w:tblPr>
      <w:tblGrid>
        <w:gridCol w:w="2376"/>
        <w:gridCol w:w="2880"/>
        <w:gridCol w:w="2880"/>
      </w:tblGrid>
      <w:tr w:rsidR="00D57782" w:rsidTr="0067340E">
        <w:trPr>
          <w:jc w:val="center"/>
        </w:trPr>
        <w:tc>
          <w:tcPr>
            <w:tcW w:w="2376" w:type="dxa"/>
            <w:vMerge w:val="restart"/>
            <w:tcBorders>
              <w:top w:val="double" w:sz="4" w:space="0" w:color="auto"/>
              <w:left w:val="double" w:sz="4" w:space="0" w:color="auto"/>
              <w:bottom w:val="double" w:sz="4" w:space="0" w:color="auto"/>
              <w:right w:val="single" w:sz="4" w:space="0" w:color="000000"/>
            </w:tcBorders>
            <w:vAlign w:val="center"/>
            <w:hideMark/>
          </w:tcPr>
          <w:p w:rsidR="00D57782" w:rsidRDefault="00D57782" w:rsidP="0067340E">
            <w:pPr>
              <w:jc w:val="center"/>
              <w:rPr>
                <w:b/>
                <w:szCs w:val="22"/>
              </w:rPr>
            </w:pPr>
            <w:r>
              <w:rPr>
                <w:b/>
              </w:rPr>
              <w:t>Nominal maximum</w:t>
            </w:r>
            <w:r>
              <w:rPr>
                <w:b/>
              </w:rPr>
              <w:br/>
              <w:t>aggregate size, inch</w:t>
            </w:r>
          </w:p>
        </w:tc>
        <w:tc>
          <w:tcPr>
            <w:tcW w:w="5760" w:type="dxa"/>
            <w:gridSpan w:val="2"/>
            <w:tcBorders>
              <w:top w:val="double" w:sz="4" w:space="0" w:color="auto"/>
              <w:left w:val="single" w:sz="4" w:space="0" w:color="000000"/>
              <w:bottom w:val="single" w:sz="4" w:space="0" w:color="000000"/>
              <w:right w:val="double" w:sz="4" w:space="0" w:color="auto"/>
            </w:tcBorders>
            <w:vAlign w:val="center"/>
            <w:hideMark/>
          </w:tcPr>
          <w:p w:rsidR="00D57782" w:rsidRDefault="00D57782" w:rsidP="0067340E">
            <w:pPr>
              <w:jc w:val="center"/>
              <w:rPr>
                <w:b/>
                <w:szCs w:val="22"/>
              </w:rPr>
            </w:pPr>
            <w:r>
              <w:rPr>
                <w:b/>
              </w:rPr>
              <w:t>Average Air Content, percent</w:t>
            </w:r>
            <w:r>
              <w:rPr>
                <w:b/>
                <w:vertAlign w:val="superscript"/>
              </w:rPr>
              <w:t>1</w:t>
            </w:r>
          </w:p>
        </w:tc>
      </w:tr>
      <w:tr w:rsidR="00D57782" w:rsidTr="0067340E">
        <w:trPr>
          <w:jc w:val="center"/>
        </w:trPr>
        <w:tc>
          <w:tcPr>
            <w:tcW w:w="0" w:type="auto"/>
            <w:vMerge/>
            <w:tcBorders>
              <w:top w:val="double" w:sz="4" w:space="0" w:color="auto"/>
              <w:left w:val="double" w:sz="4" w:space="0" w:color="auto"/>
              <w:bottom w:val="double" w:sz="4" w:space="0" w:color="auto"/>
              <w:right w:val="single" w:sz="4" w:space="0" w:color="000000"/>
            </w:tcBorders>
            <w:vAlign w:val="center"/>
            <w:hideMark/>
          </w:tcPr>
          <w:p w:rsidR="00D57782" w:rsidRDefault="00D57782" w:rsidP="0067340E">
            <w:pPr>
              <w:jc w:val="center"/>
              <w:rPr>
                <w:b/>
                <w:szCs w:val="22"/>
              </w:rPr>
            </w:pPr>
          </w:p>
        </w:tc>
        <w:tc>
          <w:tcPr>
            <w:tcW w:w="2880" w:type="dxa"/>
            <w:tcBorders>
              <w:top w:val="single" w:sz="4" w:space="0" w:color="000000"/>
              <w:left w:val="single" w:sz="4" w:space="0" w:color="000000"/>
              <w:bottom w:val="double" w:sz="4" w:space="0" w:color="auto"/>
              <w:right w:val="single" w:sz="4" w:space="0" w:color="000000"/>
            </w:tcBorders>
            <w:vAlign w:val="center"/>
            <w:hideMark/>
          </w:tcPr>
          <w:p w:rsidR="00D57782" w:rsidRDefault="00D57782" w:rsidP="0067340E">
            <w:pPr>
              <w:jc w:val="center"/>
              <w:rPr>
                <w:b/>
                <w:szCs w:val="22"/>
              </w:rPr>
            </w:pPr>
            <w:r>
              <w:rPr>
                <w:b/>
              </w:rPr>
              <w:t>Severe Exposure</w:t>
            </w:r>
            <w:r>
              <w:rPr>
                <w:b/>
                <w:vertAlign w:val="superscript"/>
              </w:rPr>
              <w:t>2</w:t>
            </w:r>
          </w:p>
        </w:tc>
        <w:tc>
          <w:tcPr>
            <w:tcW w:w="2880" w:type="dxa"/>
            <w:tcBorders>
              <w:top w:val="single" w:sz="4" w:space="0" w:color="000000"/>
              <w:left w:val="single" w:sz="4" w:space="0" w:color="000000"/>
              <w:bottom w:val="double" w:sz="4" w:space="0" w:color="auto"/>
              <w:right w:val="double" w:sz="4" w:space="0" w:color="auto"/>
            </w:tcBorders>
            <w:vAlign w:val="center"/>
            <w:hideMark/>
          </w:tcPr>
          <w:p w:rsidR="00D57782" w:rsidRDefault="00D57782" w:rsidP="0067340E">
            <w:pPr>
              <w:jc w:val="center"/>
              <w:rPr>
                <w:b/>
                <w:szCs w:val="22"/>
              </w:rPr>
            </w:pPr>
            <w:r>
              <w:rPr>
                <w:b/>
              </w:rPr>
              <w:t>Moderate Exposure</w:t>
            </w:r>
            <w:r>
              <w:rPr>
                <w:b/>
                <w:vertAlign w:val="superscript"/>
              </w:rPr>
              <w:t>3</w:t>
            </w:r>
          </w:p>
        </w:tc>
      </w:tr>
      <w:tr w:rsidR="00D57782" w:rsidTr="0067340E">
        <w:trPr>
          <w:jc w:val="center"/>
        </w:trPr>
        <w:tc>
          <w:tcPr>
            <w:tcW w:w="2376" w:type="dxa"/>
            <w:tcBorders>
              <w:top w:val="double" w:sz="4" w:space="0" w:color="auto"/>
              <w:left w:val="double" w:sz="4" w:space="0" w:color="auto"/>
              <w:bottom w:val="single" w:sz="4" w:space="0" w:color="000000"/>
              <w:right w:val="single" w:sz="4" w:space="0" w:color="000000"/>
            </w:tcBorders>
            <w:vAlign w:val="center"/>
            <w:hideMark/>
          </w:tcPr>
          <w:p w:rsidR="00D57782" w:rsidRDefault="00D57782" w:rsidP="0067340E">
            <w:pPr>
              <w:jc w:val="center"/>
              <w:rPr>
                <w:szCs w:val="22"/>
              </w:rPr>
            </w:pPr>
            <w:r>
              <w:t>3/8</w:t>
            </w:r>
          </w:p>
        </w:tc>
        <w:tc>
          <w:tcPr>
            <w:tcW w:w="2880" w:type="dxa"/>
            <w:tcBorders>
              <w:top w:val="double" w:sz="4" w:space="0" w:color="auto"/>
              <w:left w:val="single" w:sz="4" w:space="0" w:color="000000"/>
              <w:bottom w:val="single" w:sz="4" w:space="0" w:color="000000"/>
              <w:right w:val="single" w:sz="4" w:space="0" w:color="000000"/>
            </w:tcBorders>
            <w:vAlign w:val="center"/>
            <w:hideMark/>
          </w:tcPr>
          <w:p w:rsidR="00D57782" w:rsidRDefault="00D57782" w:rsidP="0067340E">
            <w:pPr>
              <w:jc w:val="center"/>
              <w:rPr>
                <w:szCs w:val="22"/>
              </w:rPr>
            </w:pPr>
            <w:r>
              <w:t>7-1/2</w:t>
            </w:r>
          </w:p>
        </w:tc>
        <w:tc>
          <w:tcPr>
            <w:tcW w:w="2880" w:type="dxa"/>
            <w:tcBorders>
              <w:top w:val="double" w:sz="4" w:space="0" w:color="auto"/>
              <w:left w:val="single" w:sz="4" w:space="0" w:color="000000"/>
              <w:bottom w:val="single" w:sz="4" w:space="0" w:color="000000"/>
              <w:right w:val="double" w:sz="4" w:space="0" w:color="auto"/>
            </w:tcBorders>
            <w:vAlign w:val="center"/>
            <w:hideMark/>
          </w:tcPr>
          <w:p w:rsidR="00D57782" w:rsidRDefault="00D57782" w:rsidP="0067340E">
            <w:pPr>
              <w:jc w:val="center"/>
              <w:rPr>
                <w:szCs w:val="22"/>
              </w:rPr>
            </w:pPr>
            <w:r>
              <w:t>6</w:t>
            </w:r>
          </w:p>
        </w:tc>
      </w:tr>
      <w:tr w:rsidR="00D57782" w:rsidTr="0067340E">
        <w:trPr>
          <w:jc w:val="center"/>
        </w:trPr>
        <w:tc>
          <w:tcPr>
            <w:tcW w:w="2376" w:type="dxa"/>
            <w:tcBorders>
              <w:top w:val="single" w:sz="4" w:space="0" w:color="000000"/>
              <w:left w:val="double" w:sz="4" w:space="0" w:color="auto"/>
              <w:bottom w:val="single" w:sz="4" w:space="0" w:color="000000"/>
              <w:right w:val="single" w:sz="4" w:space="0" w:color="000000"/>
            </w:tcBorders>
            <w:vAlign w:val="center"/>
            <w:hideMark/>
          </w:tcPr>
          <w:p w:rsidR="00D57782" w:rsidRDefault="00D57782" w:rsidP="0067340E">
            <w:pPr>
              <w:jc w:val="center"/>
              <w:rPr>
                <w:szCs w:val="22"/>
              </w:rPr>
            </w:pPr>
            <w:r>
              <w:t>1/2</w:t>
            </w:r>
          </w:p>
        </w:tc>
        <w:tc>
          <w:tcPr>
            <w:tcW w:w="2880" w:type="dxa"/>
            <w:tcBorders>
              <w:top w:val="single" w:sz="4" w:space="0" w:color="000000"/>
              <w:left w:val="single" w:sz="4" w:space="0" w:color="000000"/>
              <w:bottom w:val="single" w:sz="4" w:space="0" w:color="000000"/>
              <w:right w:val="single" w:sz="4" w:space="0" w:color="000000"/>
            </w:tcBorders>
            <w:vAlign w:val="center"/>
            <w:hideMark/>
          </w:tcPr>
          <w:p w:rsidR="00D57782" w:rsidRDefault="00D57782" w:rsidP="0067340E">
            <w:pPr>
              <w:jc w:val="center"/>
              <w:rPr>
                <w:szCs w:val="22"/>
              </w:rPr>
            </w:pPr>
            <w:r>
              <w:t>7</w:t>
            </w:r>
          </w:p>
        </w:tc>
        <w:tc>
          <w:tcPr>
            <w:tcW w:w="2880" w:type="dxa"/>
            <w:tcBorders>
              <w:top w:val="single" w:sz="4" w:space="0" w:color="000000"/>
              <w:left w:val="single" w:sz="4" w:space="0" w:color="000000"/>
              <w:bottom w:val="single" w:sz="4" w:space="0" w:color="000000"/>
              <w:right w:val="double" w:sz="4" w:space="0" w:color="auto"/>
            </w:tcBorders>
            <w:vAlign w:val="center"/>
            <w:hideMark/>
          </w:tcPr>
          <w:p w:rsidR="00D57782" w:rsidRDefault="00D57782" w:rsidP="0067340E">
            <w:pPr>
              <w:jc w:val="center"/>
              <w:rPr>
                <w:szCs w:val="22"/>
              </w:rPr>
            </w:pPr>
            <w:r>
              <w:t>5-1/2</w:t>
            </w:r>
          </w:p>
        </w:tc>
      </w:tr>
      <w:tr w:rsidR="00D57782" w:rsidTr="0067340E">
        <w:trPr>
          <w:jc w:val="center"/>
        </w:trPr>
        <w:tc>
          <w:tcPr>
            <w:tcW w:w="2376" w:type="dxa"/>
            <w:tcBorders>
              <w:top w:val="single" w:sz="4" w:space="0" w:color="000000"/>
              <w:left w:val="double" w:sz="4" w:space="0" w:color="auto"/>
              <w:bottom w:val="single" w:sz="4" w:space="0" w:color="000000"/>
              <w:right w:val="single" w:sz="4" w:space="0" w:color="000000"/>
            </w:tcBorders>
            <w:vAlign w:val="center"/>
            <w:hideMark/>
          </w:tcPr>
          <w:p w:rsidR="00D57782" w:rsidRDefault="00D57782" w:rsidP="0067340E">
            <w:pPr>
              <w:jc w:val="center"/>
              <w:rPr>
                <w:szCs w:val="22"/>
              </w:rPr>
            </w:pPr>
            <w:r>
              <w:t>3/4</w:t>
            </w:r>
          </w:p>
        </w:tc>
        <w:tc>
          <w:tcPr>
            <w:tcW w:w="2880" w:type="dxa"/>
            <w:tcBorders>
              <w:top w:val="single" w:sz="4" w:space="0" w:color="000000"/>
              <w:left w:val="single" w:sz="4" w:space="0" w:color="000000"/>
              <w:bottom w:val="single" w:sz="4" w:space="0" w:color="000000"/>
              <w:right w:val="single" w:sz="4" w:space="0" w:color="000000"/>
            </w:tcBorders>
            <w:vAlign w:val="center"/>
            <w:hideMark/>
          </w:tcPr>
          <w:p w:rsidR="00D57782" w:rsidRDefault="00D57782" w:rsidP="0067340E">
            <w:pPr>
              <w:jc w:val="center"/>
              <w:rPr>
                <w:szCs w:val="22"/>
              </w:rPr>
            </w:pPr>
            <w:r>
              <w:t>6</w:t>
            </w:r>
          </w:p>
        </w:tc>
        <w:tc>
          <w:tcPr>
            <w:tcW w:w="2880" w:type="dxa"/>
            <w:tcBorders>
              <w:top w:val="single" w:sz="4" w:space="0" w:color="000000"/>
              <w:left w:val="single" w:sz="4" w:space="0" w:color="000000"/>
              <w:bottom w:val="single" w:sz="4" w:space="0" w:color="000000"/>
              <w:right w:val="double" w:sz="4" w:space="0" w:color="auto"/>
            </w:tcBorders>
            <w:vAlign w:val="center"/>
            <w:hideMark/>
          </w:tcPr>
          <w:p w:rsidR="00D57782" w:rsidRDefault="00D57782" w:rsidP="0067340E">
            <w:pPr>
              <w:jc w:val="center"/>
              <w:rPr>
                <w:szCs w:val="22"/>
              </w:rPr>
            </w:pPr>
            <w:r>
              <w:t>5</w:t>
            </w:r>
          </w:p>
        </w:tc>
      </w:tr>
      <w:tr w:rsidR="00D57782" w:rsidTr="0067340E">
        <w:trPr>
          <w:jc w:val="center"/>
        </w:trPr>
        <w:tc>
          <w:tcPr>
            <w:tcW w:w="2376" w:type="dxa"/>
            <w:tcBorders>
              <w:top w:val="single" w:sz="4" w:space="0" w:color="000000"/>
              <w:left w:val="double" w:sz="4" w:space="0" w:color="auto"/>
              <w:bottom w:val="single" w:sz="4" w:space="0" w:color="000000"/>
              <w:right w:val="single" w:sz="4" w:space="0" w:color="000000"/>
            </w:tcBorders>
            <w:vAlign w:val="center"/>
            <w:hideMark/>
          </w:tcPr>
          <w:p w:rsidR="00D57782" w:rsidRDefault="00D57782" w:rsidP="0067340E">
            <w:pPr>
              <w:jc w:val="center"/>
              <w:rPr>
                <w:szCs w:val="22"/>
              </w:rPr>
            </w:pPr>
            <w:r>
              <w:t>1</w:t>
            </w:r>
          </w:p>
        </w:tc>
        <w:tc>
          <w:tcPr>
            <w:tcW w:w="2880" w:type="dxa"/>
            <w:tcBorders>
              <w:top w:val="single" w:sz="4" w:space="0" w:color="000000"/>
              <w:left w:val="single" w:sz="4" w:space="0" w:color="000000"/>
              <w:bottom w:val="single" w:sz="4" w:space="0" w:color="000000"/>
              <w:right w:val="single" w:sz="4" w:space="0" w:color="000000"/>
            </w:tcBorders>
            <w:vAlign w:val="center"/>
            <w:hideMark/>
          </w:tcPr>
          <w:p w:rsidR="00D57782" w:rsidRDefault="00D57782" w:rsidP="0067340E">
            <w:pPr>
              <w:jc w:val="center"/>
              <w:rPr>
                <w:szCs w:val="22"/>
              </w:rPr>
            </w:pPr>
            <w:r>
              <w:t>6</w:t>
            </w:r>
          </w:p>
        </w:tc>
        <w:tc>
          <w:tcPr>
            <w:tcW w:w="2880" w:type="dxa"/>
            <w:tcBorders>
              <w:top w:val="single" w:sz="4" w:space="0" w:color="000000"/>
              <w:left w:val="single" w:sz="4" w:space="0" w:color="000000"/>
              <w:bottom w:val="single" w:sz="4" w:space="0" w:color="000000"/>
              <w:right w:val="double" w:sz="4" w:space="0" w:color="auto"/>
            </w:tcBorders>
            <w:vAlign w:val="center"/>
            <w:hideMark/>
          </w:tcPr>
          <w:p w:rsidR="00D57782" w:rsidRDefault="00D57782" w:rsidP="0067340E">
            <w:pPr>
              <w:jc w:val="center"/>
              <w:rPr>
                <w:szCs w:val="22"/>
              </w:rPr>
            </w:pPr>
            <w:r>
              <w:t>4-1/2</w:t>
            </w:r>
          </w:p>
        </w:tc>
      </w:tr>
      <w:tr w:rsidR="00D57782" w:rsidTr="0067340E">
        <w:trPr>
          <w:jc w:val="center"/>
        </w:trPr>
        <w:tc>
          <w:tcPr>
            <w:tcW w:w="2376" w:type="dxa"/>
            <w:tcBorders>
              <w:top w:val="single" w:sz="4" w:space="0" w:color="000000"/>
              <w:left w:val="double" w:sz="4" w:space="0" w:color="auto"/>
              <w:bottom w:val="single" w:sz="4" w:space="0" w:color="000000"/>
              <w:right w:val="single" w:sz="4" w:space="0" w:color="000000"/>
            </w:tcBorders>
            <w:vAlign w:val="center"/>
            <w:hideMark/>
          </w:tcPr>
          <w:p w:rsidR="00D57782" w:rsidRDefault="00D57782" w:rsidP="0067340E">
            <w:pPr>
              <w:jc w:val="center"/>
              <w:rPr>
                <w:szCs w:val="22"/>
              </w:rPr>
            </w:pPr>
            <w:r>
              <w:t>1-1/2</w:t>
            </w:r>
          </w:p>
        </w:tc>
        <w:tc>
          <w:tcPr>
            <w:tcW w:w="2880" w:type="dxa"/>
            <w:tcBorders>
              <w:top w:val="single" w:sz="4" w:space="0" w:color="000000"/>
              <w:left w:val="single" w:sz="4" w:space="0" w:color="000000"/>
              <w:bottom w:val="single" w:sz="4" w:space="0" w:color="000000"/>
              <w:right w:val="single" w:sz="4" w:space="0" w:color="000000"/>
            </w:tcBorders>
            <w:vAlign w:val="center"/>
            <w:hideMark/>
          </w:tcPr>
          <w:p w:rsidR="00D57782" w:rsidRDefault="00D57782" w:rsidP="0067340E">
            <w:pPr>
              <w:jc w:val="center"/>
              <w:rPr>
                <w:szCs w:val="22"/>
              </w:rPr>
            </w:pPr>
            <w:r>
              <w:t>5-1/2</w:t>
            </w:r>
          </w:p>
        </w:tc>
        <w:tc>
          <w:tcPr>
            <w:tcW w:w="2880" w:type="dxa"/>
            <w:tcBorders>
              <w:top w:val="single" w:sz="4" w:space="0" w:color="000000"/>
              <w:left w:val="single" w:sz="4" w:space="0" w:color="000000"/>
              <w:bottom w:val="single" w:sz="4" w:space="0" w:color="000000"/>
              <w:right w:val="double" w:sz="4" w:space="0" w:color="auto"/>
            </w:tcBorders>
            <w:vAlign w:val="center"/>
            <w:hideMark/>
          </w:tcPr>
          <w:p w:rsidR="00D57782" w:rsidRDefault="00D57782" w:rsidP="0067340E">
            <w:pPr>
              <w:jc w:val="center"/>
              <w:rPr>
                <w:szCs w:val="22"/>
              </w:rPr>
            </w:pPr>
            <w:r>
              <w:t>4-1/2</w:t>
            </w:r>
            <w:r>
              <w:rPr>
                <w:vertAlign w:val="superscript"/>
              </w:rPr>
              <w:t>4</w:t>
            </w:r>
          </w:p>
        </w:tc>
      </w:tr>
      <w:tr w:rsidR="00D57782" w:rsidTr="0067340E">
        <w:trPr>
          <w:jc w:val="center"/>
        </w:trPr>
        <w:tc>
          <w:tcPr>
            <w:tcW w:w="2376" w:type="dxa"/>
            <w:tcBorders>
              <w:top w:val="single" w:sz="4" w:space="0" w:color="000000"/>
              <w:left w:val="double" w:sz="4" w:space="0" w:color="auto"/>
              <w:bottom w:val="single" w:sz="4" w:space="0" w:color="000000"/>
              <w:right w:val="single" w:sz="4" w:space="0" w:color="000000"/>
            </w:tcBorders>
            <w:vAlign w:val="center"/>
            <w:hideMark/>
          </w:tcPr>
          <w:p w:rsidR="00D57782" w:rsidRDefault="00D57782" w:rsidP="0067340E">
            <w:pPr>
              <w:jc w:val="center"/>
              <w:rPr>
                <w:szCs w:val="22"/>
              </w:rPr>
            </w:pPr>
            <w:r>
              <w:t>2</w:t>
            </w:r>
          </w:p>
        </w:tc>
        <w:tc>
          <w:tcPr>
            <w:tcW w:w="2880" w:type="dxa"/>
            <w:tcBorders>
              <w:top w:val="single" w:sz="4" w:space="0" w:color="000000"/>
              <w:left w:val="single" w:sz="4" w:space="0" w:color="000000"/>
              <w:bottom w:val="single" w:sz="4" w:space="0" w:color="000000"/>
              <w:right w:val="single" w:sz="4" w:space="0" w:color="000000"/>
            </w:tcBorders>
            <w:vAlign w:val="center"/>
            <w:hideMark/>
          </w:tcPr>
          <w:p w:rsidR="00D57782" w:rsidRDefault="00D57782" w:rsidP="0067340E">
            <w:pPr>
              <w:jc w:val="center"/>
              <w:rPr>
                <w:szCs w:val="22"/>
              </w:rPr>
            </w:pPr>
            <w:r>
              <w:t>5</w:t>
            </w:r>
          </w:p>
        </w:tc>
        <w:tc>
          <w:tcPr>
            <w:tcW w:w="2880" w:type="dxa"/>
            <w:tcBorders>
              <w:top w:val="single" w:sz="4" w:space="0" w:color="000000"/>
              <w:left w:val="single" w:sz="4" w:space="0" w:color="000000"/>
              <w:bottom w:val="single" w:sz="4" w:space="0" w:color="000000"/>
              <w:right w:val="double" w:sz="4" w:space="0" w:color="auto"/>
            </w:tcBorders>
            <w:vAlign w:val="center"/>
            <w:hideMark/>
          </w:tcPr>
          <w:p w:rsidR="00D57782" w:rsidRDefault="00D57782" w:rsidP="0067340E">
            <w:pPr>
              <w:jc w:val="center"/>
              <w:rPr>
                <w:szCs w:val="22"/>
              </w:rPr>
            </w:pPr>
            <w:r>
              <w:t>4</w:t>
            </w:r>
            <w:r>
              <w:rPr>
                <w:vertAlign w:val="superscript"/>
              </w:rPr>
              <w:t>4</w:t>
            </w:r>
          </w:p>
        </w:tc>
      </w:tr>
      <w:tr w:rsidR="00D57782" w:rsidTr="0067340E">
        <w:trPr>
          <w:jc w:val="center"/>
        </w:trPr>
        <w:tc>
          <w:tcPr>
            <w:tcW w:w="2376" w:type="dxa"/>
            <w:tcBorders>
              <w:top w:val="single" w:sz="4" w:space="0" w:color="000000"/>
              <w:left w:val="double" w:sz="4" w:space="0" w:color="auto"/>
              <w:bottom w:val="double" w:sz="4" w:space="0" w:color="auto"/>
              <w:right w:val="single" w:sz="4" w:space="0" w:color="000000"/>
            </w:tcBorders>
            <w:vAlign w:val="center"/>
            <w:hideMark/>
          </w:tcPr>
          <w:p w:rsidR="00D57782" w:rsidRDefault="00D57782" w:rsidP="0067340E">
            <w:pPr>
              <w:jc w:val="center"/>
              <w:rPr>
                <w:szCs w:val="22"/>
              </w:rPr>
            </w:pPr>
            <w:r>
              <w:t>3</w:t>
            </w:r>
          </w:p>
        </w:tc>
        <w:tc>
          <w:tcPr>
            <w:tcW w:w="2880" w:type="dxa"/>
            <w:tcBorders>
              <w:top w:val="single" w:sz="4" w:space="0" w:color="000000"/>
              <w:left w:val="single" w:sz="4" w:space="0" w:color="000000"/>
              <w:bottom w:val="double" w:sz="4" w:space="0" w:color="auto"/>
              <w:right w:val="single" w:sz="4" w:space="0" w:color="000000"/>
            </w:tcBorders>
            <w:vAlign w:val="center"/>
            <w:hideMark/>
          </w:tcPr>
          <w:p w:rsidR="00D57782" w:rsidRDefault="00D57782" w:rsidP="0067340E">
            <w:pPr>
              <w:jc w:val="center"/>
              <w:rPr>
                <w:szCs w:val="22"/>
              </w:rPr>
            </w:pPr>
            <w:r>
              <w:t>4-1/2</w:t>
            </w:r>
          </w:p>
        </w:tc>
        <w:tc>
          <w:tcPr>
            <w:tcW w:w="2880" w:type="dxa"/>
            <w:tcBorders>
              <w:top w:val="single" w:sz="4" w:space="0" w:color="000000"/>
              <w:left w:val="single" w:sz="4" w:space="0" w:color="000000"/>
              <w:bottom w:val="double" w:sz="4" w:space="0" w:color="auto"/>
              <w:right w:val="double" w:sz="4" w:space="0" w:color="auto"/>
            </w:tcBorders>
            <w:vAlign w:val="center"/>
            <w:hideMark/>
          </w:tcPr>
          <w:p w:rsidR="00D57782" w:rsidRDefault="00D57782" w:rsidP="0067340E">
            <w:pPr>
              <w:jc w:val="center"/>
              <w:rPr>
                <w:szCs w:val="22"/>
              </w:rPr>
            </w:pPr>
            <w:r>
              <w:t>3-1/2</w:t>
            </w:r>
            <w:r>
              <w:rPr>
                <w:vertAlign w:val="superscript"/>
              </w:rPr>
              <w:t>4</w:t>
            </w:r>
          </w:p>
        </w:tc>
      </w:tr>
    </w:tbl>
    <w:p w:rsidR="00D57782" w:rsidRPr="002A1814" w:rsidRDefault="00D57782" w:rsidP="00D57782">
      <w:pPr>
        <w:ind w:left="900" w:right="630" w:hanging="270"/>
        <w:rPr>
          <w:rFonts w:asciiTheme="minorHAnsi" w:hAnsiTheme="minorHAnsi" w:cstheme="minorBidi"/>
          <w:sz w:val="16"/>
          <w:szCs w:val="16"/>
        </w:rPr>
      </w:pPr>
      <w:r w:rsidRPr="002A1814">
        <w:rPr>
          <w:sz w:val="16"/>
          <w:szCs w:val="16"/>
          <w:vertAlign w:val="superscript"/>
        </w:rPr>
        <w:t>1</w:t>
      </w:r>
      <w:r w:rsidRPr="002A1814">
        <w:rPr>
          <w:sz w:val="16"/>
          <w:szCs w:val="16"/>
          <w:vertAlign w:val="superscript"/>
        </w:rPr>
        <w:tab/>
      </w:r>
      <w:r w:rsidRPr="002A1814">
        <w:rPr>
          <w:sz w:val="16"/>
          <w:szCs w:val="16"/>
        </w:rPr>
        <w:t>There is conflicting opinion on whether air contents lower than those given in the table should be permitted for high-strength (more than approximately 6000 psi) concrete.  The committee believes that, where supporting experience and experimental data exist for particular combinations of materials, construction practices, and exposure, the air contents can be reduced by approximately 1 percent.  For nominal maximum aggregate sizes over 1-1/2 in, this reduction applies to the fraction of the mixtures passing the 1-1/2 inch sieves.</w:t>
      </w:r>
    </w:p>
    <w:p w:rsidR="00D57782" w:rsidRPr="002A1814" w:rsidRDefault="00D57782" w:rsidP="00D57782">
      <w:pPr>
        <w:ind w:left="900" w:right="630" w:hanging="270"/>
        <w:rPr>
          <w:sz w:val="16"/>
          <w:szCs w:val="16"/>
        </w:rPr>
      </w:pPr>
      <w:r w:rsidRPr="002A1814">
        <w:rPr>
          <w:sz w:val="16"/>
          <w:szCs w:val="16"/>
          <w:vertAlign w:val="superscript"/>
        </w:rPr>
        <w:t>2</w:t>
      </w:r>
      <w:r w:rsidRPr="002A1814">
        <w:rPr>
          <w:sz w:val="16"/>
          <w:szCs w:val="16"/>
          <w:vertAlign w:val="superscript"/>
        </w:rPr>
        <w:tab/>
      </w:r>
      <w:r w:rsidRPr="002A1814">
        <w:rPr>
          <w:sz w:val="16"/>
          <w:szCs w:val="16"/>
        </w:rPr>
        <w:t>A reasonable tolerance for air content in field construction is ±1-1/2 percent.</w:t>
      </w:r>
    </w:p>
    <w:p w:rsidR="00D57782" w:rsidRPr="002A1814" w:rsidRDefault="00D57782" w:rsidP="00D57782">
      <w:pPr>
        <w:ind w:left="900" w:right="630" w:hanging="270"/>
        <w:rPr>
          <w:sz w:val="16"/>
          <w:szCs w:val="16"/>
        </w:rPr>
      </w:pPr>
      <w:r w:rsidRPr="002A1814">
        <w:rPr>
          <w:sz w:val="16"/>
          <w:szCs w:val="16"/>
          <w:vertAlign w:val="superscript"/>
        </w:rPr>
        <w:t>3</w:t>
      </w:r>
      <w:r w:rsidRPr="002A1814">
        <w:rPr>
          <w:sz w:val="16"/>
          <w:szCs w:val="16"/>
        </w:rPr>
        <w:tab/>
        <w:t>Outdoor exposure in a cold climate where the concrete may be in almost continuous contact with moisture before freezing or where deicing slats are used.  Examples are pavements, bridge decks, sidewalks, and water tanks.</w:t>
      </w:r>
    </w:p>
    <w:p w:rsidR="00D57782" w:rsidRPr="002A1814" w:rsidRDefault="00D57782" w:rsidP="00D57782">
      <w:pPr>
        <w:ind w:left="900" w:right="630" w:hanging="270"/>
        <w:rPr>
          <w:sz w:val="16"/>
          <w:szCs w:val="16"/>
        </w:rPr>
      </w:pPr>
      <w:r w:rsidRPr="002A1814">
        <w:rPr>
          <w:sz w:val="16"/>
          <w:szCs w:val="16"/>
          <w:vertAlign w:val="superscript"/>
        </w:rPr>
        <w:t>4</w:t>
      </w:r>
      <w:r w:rsidRPr="002A1814">
        <w:rPr>
          <w:sz w:val="16"/>
          <w:szCs w:val="16"/>
        </w:rPr>
        <w:tab/>
        <w:t>These air contents apply to the whole concrete, as is the case for the preceding aggregate sizes.  When testing this concrete, however, aggregate pieces larger than 1-1/2 inch are removed by handpicking or wet-sieving, and the air content is determined on the fraction of the mixture passing the 1-1/2 inch sieve (the field tolerance applies to this value).  From this, the air content of the whole mixture is computed.</w:t>
      </w:r>
    </w:p>
    <w:p w:rsidR="00504C70" w:rsidRDefault="00504C70" w:rsidP="00436095">
      <w:pPr>
        <w:pStyle w:val="Heading5"/>
      </w:pPr>
    </w:p>
    <w:p w:rsidR="004774B9" w:rsidRDefault="004774B9" w:rsidP="00436095">
      <w:pPr>
        <w:pStyle w:val="Heading5"/>
      </w:pPr>
      <w:r>
        <w:t>Alkali-Aggregate Reactivity</w:t>
      </w:r>
    </w:p>
    <w:p w:rsidR="002544CC" w:rsidRDefault="002544CC" w:rsidP="002544CC">
      <w:r>
        <w:t xml:space="preserve">The major chemical aggregate degradation mechanism in </w:t>
      </w:r>
      <w:r w:rsidR="00B55EC9">
        <w:t>concrete</w:t>
      </w:r>
      <w:r>
        <w:t xml:space="preserve"> is alkali-aggregate reactivity (AAR).  There are two types of AAR that are recognized: alkali-silica reactivity (ASR) and alkali-carbonate reactivity (ACR).  Although each is initiated and sustained by alkalis present in the pore solution, they are distinctly different in mechanism and in the approach to mitigation.  </w:t>
      </w:r>
      <w:hyperlink r:id="rId105" w:history="1">
        <w:r w:rsidRPr="00C34073">
          <w:rPr>
            <w:rStyle w:val="Hyperlink"/>
          </w:rPr>
          <w:t>Thomas, Fournier, and Folliard</w:t>
        </w:r>
      </w:hyperlink>
      <w:r>
        <w:t xml:space="preserve"> (2008) describe in detail the chemical reactions responsible for the deterioration, the types of rocks that are susceptible, testing procedures, and mitigation strategies to prevent deleterious expansion.  It is recommended that aggregates be screened for ASR, which is the most common deterioration mechanism, using the following methods:</w:t>
      </w:r>
    </w:p>
    <w:p w:rsidR="002544CC" w:rsidRDefault="002544CC" w:rsidP="002544CC"/>
    <w:p w:rsidR="002544CC" w:rsidRPr="005058BB" w:rsidRDefault="002544CC" w:rsidP="002544CC">
      <w:pPr>
        <w:pStyle w:val="ListParagraph"/>
        <w:numPr>
          <w:ilvl w:val="0"/>
          <w:numId w:val="4"/>
        </w:numPr>
        <w:adjustRightInd w:val="0"/>
        <w:ind w:left="720"/>
        <w:rPr>
          <w:spacing w:val="-2"/>
        </w:rPr>
      </w:pPr>
      <w:r>
        <w:rPr>
          <w:spacing w:val="-2"/>
        </w:rPr>
        <w:t xml:space="preserve">AASHTO T 303, </w:t>
      </w:r>
      <w:r>
        <w:rPr>
          <w:i/>
          <w:spacing w:val="-2"/>
        </w:rPr>
        <w:t>Standard Method of Test for Accelerated Detection of Potentially Deleterious Expansion of Mortar Bars Due to Alkali-Silica Reaction.</w:t>
      </w:r>
    </w:p>
    <w:p w:rsidR="002544CC" w:rsidRPr="00162A70" w:rsidRDefault="002544CC" w:rsidP="002544CC">
      <w:pPr>
        <w:pStyle w:val="ListParagraph"/>
        <w:numPr>
          <w:ilvl w:val="0"/>
          <w:numId w:val="4"/>
        </w:numPr>
        <w:adjustRightInd w:val="0"/>
        <w:ind w:left="720"/>
        <w:rPr>
          <w:spacing w:val="-2"/>
        </w:rPr>
      </w:pPr>
      <w:r w:rsidRPr="00BF789D">
        <w:t xml:space="preserve">AASHTO </w:t>
      </w:r>
      <w:r w:rsidR="00537BE7">
        <w:t>P</w:t>
      </w:r>
      <w:r w:rsidRPr="00BF789D">
        <w:t xml:space="preserve">P 65, </w:t>
      </w:r>
      <w:r w:rsidRPr="00BF789D">
        <w:rPr>
          <w:i/>
        </w:rPr>
        <w:t>Standard Practice for Determining the Reactivity of Concrete Aggregates and Selecting Appropriate Measures for preventing Deleterious Expansion in New Concrete Construction</w:t>
      </w:r>
      <w:r>
        <w:rPr>
          <w:i/>
        </w:rPr>
        <w:t>.</w:t>
      </w:r>
    </w:p>
    <w:p w:rsidR="002544CC" w:rsidRPr="00801027" w:rsidRDefault="002544CC" w:rsidP="002544CC">
      <w:pPr>
        <w:pStyle w:val="ListParagraph"/>
        <w:numPr>
          <w:ilvl w:val="0"/>
          <w:numId w:val="4"/>
        </w:numPr>
        <w:adjustRightInd w:val="0"/>
        <w:ind w:left="720"/>
        <w:rPr>
          <w:spacing w:val="-2"/>
        </w:rPr>
      </w:pPr>
      <w:r>
        <w:rPr>
          <w:spacing w:val="-2"/>
        </w:rPr>
        <w:t xml:space="preserve">ASTM C1293, </w:t>
      </w:r>
      <w:r>
        <w:rPr>
          <w:i/>
          <w:spacing w:val="-2"/>
        </w:rPr>
        <w:t>Standard Test Method for Determination of Length Change of Concrete Due to Alkali-Silica Reaction.</w:t>
      </w:r>
    </w:p>
    <w:p w:rsidR="00801027" w:rsidRPr="00162A70" w:rsidRDefault="00801027" w:rsidP="002544CC">
      <w:pPr>
        <w:pStyle w:val="ListParagraph"/>
        <w:numPr>
          <w:ilvl w:val="0"/>
          <w:numId w:val="4"/>
        </w:numPr>
        <w:adjustRightInd w:val="0"/>
        <w:ind w:left="720"/>
        <w:rPr>
          <w:spacing w:val="-2"/>
        </w:rPr>
      </w:pPr>
      <w:r>
        <w:rPr>
          <w:color w:val="7030A0"/>
          <w:spacing w:val="-2"/>
        </w:rPr>
        <w:t>ASTM C 1567, Standard Test Method for Determining the Potential Alkali-Silica Reactivity of Combinations of Cementitious Materials and Aggregate.</w:t>
      </w:r>
    </w:p>
    <w:p w:rsidR="002544CC" w:rsidRPr="00162A70" w:rsidRDefault="002544CC" w:rsidP="002544CC"/>
    <w:p w:rsidR="002544CC" w:rsidRDefault="002544CC" w:rsidP="002544CC">
      <w:r>
        <w:t>ACR, although less common, is more damaging and more difficult to mitigate.  Although a number of test methods exist to determine the ACR susceptibility of aggregate, the following is recommended (</w:t>
      </w:r>
      <w:hyperlink r:id="rId106" w:history="1">
        <w:r w:rsidRPr="00C34073">
          <w:rPr>
            <w:rStyle w:val="Hyperlink"/>
          </w:rPr>
          <w:t>Thomas, Fournier, and Folliard 2008</w:t>
        </w:r>
      </w:hyperlink>
      <w:r>
        <w:t>):</w:t>
      </w:r>
    </w:p>
    <w:p w:rsidR="002544CC" w:rsidRDefault="002544CC" w:rsidP="002544CC"/>
    <w:p w:rsidR="002544CC" w:rsidRPr="004E3FE7" w:rsidRDefault="002544CC" w:rsidP="002544CC">
      <w:pPr>
        <w:pStyle w:val="ListParagraph"/>
        <w:numPr>
          <w:ilvl w:val="0"/>
          <w:numId w:val="5"/>
        </w:numPr>
        <w:adjustRightInd w:val="0"/>
        <w:ind w:left="720"/>
        <w:rPr>
          <w:spacing w:val="-2"/>
          <w:szCs w:val="24"/>
        </w:rPr>
      </w:pPr>
      <w:r w:rsidRPr="004E3FE7">
        <w:rPr>
          <w:spacing w:val="-2"/>
          <w:szCs w:val="24"/>
        </w:rPr>
        <w:t xml:space="preserve">Use ASTM C295, </w:t>
      </w:r>
      <w:r w:rsidRPr="004E3FE7">
        <w:rPr>
          <w:i/>
          <w:spacing w:val="-2"/>
          <w:szCs w:val="24"/>
        </w:rPr>
        <w:t>Standard Guide for Petrographic Evaluation of Aggregates for Use in Concrete</w:t>
      </w:r>
      <w:r w:rsidRPr="004E3FE7">
        <w:rPr>
          <w:spacing w:val="-2"/>
          <w:szCs w:val="24"/>
        </w:rPr>
        <w:t>, to initially determine if the aggregate is a quarried carbonate with features that indicate ACR might be a problem.</w:t>
      </w:r>
    </w:p>
    <w:p w:rsidR="002544CC" w:rsidRPr="004E3FE7" w:rsidRDefault="002544CC" w:rsidP="002544CC">
      <w:pPr>
        <w:pStyle w:val="ListParagraph"/>
        <w:numPr>
          <w:ilvl w:val="0"/>
          <w:numId w:val="5"/>
        </w:numPr>
        <w:adjustRightInd w:val="0"/>
        <w:ind w:left="720"/>
        <w:rPr>
          <w:rStyle w:val="A5"/>
          <w:color w:val="auto"/>
          <w:spacing w:val="-2"/>
          <w:sz w:val="24"/>
          <w:szCs w:val="24"/>
        </w:rPr>
      </w:pPr>
      <w:r w:rsidRPr="004E3FE7">
        <w:rPr>
          <w:spacing w:val="-2"/>
          <w:szCs w:val="24"/>
        </w:rPr>
        <w:t>If aggregate is a quarried carbonate that might be considered ACR susceptible, Canadian Standards Association test CSA A23.2-26A</w:t>
      </w:r>
      <w:r w:rsidRPr="004E3FE7">
        <w:rPr>
          <w:rStyle w:val="FootnoteReference"/>
          <w:spacing w:val="-2"/>
          <w:szCs w:val="24"/>
        </w:rPr>
        <w:footnoteReference w:id="1"/>
      </w:r>
      <w:r w:rsidRPr="004E3FE7">
        <w:rPr>
          <w:spacing w:val="-2"/>
          <w:szCs w:val="24"/>
        </w:rPr>
        <w:t xml:space="preserve">, </w:t>
      </w:r>
      <w:r w:rsidRPr="004E3FE7">
        <w:rPr>
          <w:i/>
          <w:spacing w:val="-2"/>
          <w:szCs w:val="24"/>
        </w:rPr>
        <w:t>Determination of Potential Alkali-Carbonate Reactive Rocks by Chemical Composition</w:t>
      </w:r>
      <w:r w:rsidRPr="004E3FE7">
        <w:rPr>
          <w:spacing w:val="-2"/>
          <w:szCs w:val="24"/>
        </w:rPr>
        <w:t xml:space="preserve">, should be conducted to determine if the </w:t>
      </w:r>
      <w:r w:rsidRPr="004E3FE7">
        <w:rPr>
          <w:rStyle w:val="A5"/>
          <w:sz w:val="24"/>
          <w:szCs w:val="24"/>
        </w:rPr>
        <w:t>CaO/MgO ratio versus the Al</w:t>
      </w:r>
      <w:r w:rsidRPr="004E3FE7">
        <w:rPr>
          <w:rStyle w:val="A6"/>
          <w:sz w:val="24"/>
          <w:szCs w:val="24"/>
        </w:rPr>
        <w:t>2</w:t>
      </w:r>
      <w:r w:rsidRPr="004E3FE7">
        <w:rPr>
          <w:rStyle w:val="A5"/>
          <w:sz w:val="24"/>
          <w:szCs w:val="24"/>
        </w:rPr>
        <w:t>O</w:t>
      </w:r>
      <w:r w:rsidRPr="004E3FE7">
        <w:rPr>
          <w:rStyle w:val="A6"/>
          <w:sz w:val="24"/>
          <w:szCs w:val="24"/>
        </w:rPr>
        <w:t xml:space="preserve">3 </w:t>
      </w:r>
      <w:r w:rsidRPr="004E3FE7">
        <w:rPr>
          <w:rStyle w:val="A5"/>
          <w:sz w:val="24"/>
          <w:szCs w:val="24"/>
        </w:rPr>
        <w:t>content is such that the rock might be considered reactive.</w:t>
      </w:r>
    </w:p>
    <w:p w:rsidR="002544CC" w:rsidRPr="004E3FE7" w:rsidRDefault="002544CC" w:rsidP="002544CC">
      <w:pPr>
        <w:pStyle w:val="ListParagraph"/>
        <w:numPr>
          <w:ilvl w:val="0"/>
          <w:numId w:val="5"/>
        </w:numPr>
        <w:adjustRightInd w:val="0"/>
        <w:ind w:left="720"/>
        <w:rPr>
          <w:rStyle w:val="A5"/>
          <w:color w:val="auto"/>
          <w:spacing w:val="-2"/>
          <w:sz w:val="24"/>
          <w:szCs w:val="24"/>
        </w:rPr>
      </w:pPr>
      <w:r w:rsidRPr="004E3FE7">
        <w:rPr>
          <w:rStyle w:val="A5"/>
          <w:sz w:val="24"/>
          <w:szCs w:val="24"/>
        </w:rPr>
        <w:t xml:space="preserve">If CSA A23.2-26A indicates that the rock is potentially reactive, ASTM C1293 should be conducted.  If expansion exceeds specified limits, a petrographic analysis should be conducted in accordance with ASTM C856, </w:t>
      </w:r>
      <w:r w:rsidRPr="004E3FE7">
        <w:rPr>
          <w:i/>
          <w:szCs w:val="24"/>
        </w:rPr>
        <w:t>Standard Practice for Petrographic Examination of Hardened Concrete</w:t>
      </w:r>
      <w:r w:rsidRPr="004E3FE7">
        <w:rPr>
          <w:szCs w:val="24"/>
        </w:rPr>
        <w:t xml:space="preserve"> </w:t>
      </w:r>
      <w:r w:rsidRPr="004E3FE7">
        <w:rPr>
          <w:rStyle w:val="A5"/>
          <w:sz w:val="24"/>
          <w:szCs w:val="24"/>
        </w:rPr>
        <w:t>to determine whether ACR is responsible.  AASHTO T 303 cannot be used to determine the susceptibility of aggregate to ACR.</w:t>
      </w:r>
    </w:p>
    <w:p w:rsidR="002544CC" w:rsidRPr="004E3FE7" w:rsidRDefault="002544CC" w:rsidP="002544CC">
      <w:pPr>
        <w:rPr>
          <w:szCs w:val="24"/>
        </w:rPr>
      </w:pPr>
    </w:p>
    <w:p w:rsidR="002544CC" w:rsidRDefault="002544CC" w:rsidP="002544CC">
      <w:r>
        <w:t>Unlike ASR, there are no strategies that can be used to mitigate ACR other than avoid the use of susceptible aggregate.</w:t>
      </w:r>
    </w:p>
    <w:p w:rsidR="002544CC" w:rsidRDefault="002544CC" w:rsidP="005E11F5"/>
    <w:p w:rsidR="004774B9" w:rsidRDefault="00F0251B" w:rsidP="005E11F5">
      <w:hyperlink r:id="rId107" w:history="1">
        <w:r w:rsidR="002544CC" w:rsidRPr="00C34073">
          <w:rPr>
            <w:rStyle w:val="Hyperlink"/>
          </w:rPr>
          <w:t>Thomas, Fournier, and Folliard</w:t>
        </w:r>
      </w:hyperlink>
      <w:r w:rsidR="00074FC1">
        <w:t xml:space="preserve"> (2008) </w:t>
      </w:r>
      <w:r w:rsidR="004774B9">
        <w:t xml:space="preserve">developed protocols </w:t>
      </w:r>
      <w:r w:rsidR="00074FC1">
        <w:t>for</w:t>
      </w:r>
      <w:r w:rsidR="004774B9">
        <w:t xml:space="preserve"> determin</w:t>
      </w:r>
      <w:r w:rsidR="00074FC1">
        <w:t>ing</w:t>
      </w:r>
      <w:r w:rsidR="004774B9">
        <w:t xml:space="preserve"> the reactivity of concrete aggregates and for selecting appropriate mitigation strategies.  The approach uses test result and knowledge of the proposed structure to assign a level of risk from which an acceptable mitigation strategy is selected</w:t>
      </w:r>
      <w:r w:rsidR="00436095">
        <w:t>.</w:t>
      </w:r>
    </w:p>
    <w:p w:rsidR="00074FC1" w:rsidRDefault="00074FC1"/>
    <w:p w:rsidR="004774B9" w:rsidRDefault="004774B9" w:rsidP="00436095">
      <w:pPr>
        <w:pStyle w:val="Heading5"/>
      </w:pPr>
      <w:r>
        <w:t xml:space="preserve">Sulfate </w:t>
      </w:r>
      <w:r w:rsidR="00436095">
        <w:t>A</w:t>
      </w:r>
      <w:r>
        <w:t>ttack</w:t>
      </w:r>
    </w:p>
    <w:p w:rsidR="004774B9" w:rsidRPr="0067340E" w:rsidRDefault="004774B9" w:rsidP="005E11F5">
      <w:r>
        <w:t xml:space="preserve">Sulfate attack is a distress mechanism whereas external sulfates, typically for soils, will penetrate concrete and attack the aluminate phases in the cement paste, causing expansion and/or degradation.  As discussed under cement binders, ASTM C1012 is the commonly applied performance test to determine the ability of a cementitious system withstand sulfate environments.  </w:t>
      </w:r>
      <w:r w:rsidRPr="0067340E">
        <w:t xml:space="preserve">Requirements </w:t>
      </w:r>
      <w:r w:rsidR="00D57782" w:rsidRPr="0067340E">
        <w:t xml:space="preserve">(shown in Table 3-18) </w:t>
      </w:r>
      <w:r w:rsidRPr="0067340E">
        <w:t>to protect concrete against sulfate attack in a sulfate environment are provided in ACI 201.2R.</w:t>
      </w:r>
    </w:p>
    <w:p w:rsidR="00D57782" w:rsidRPr="0067340E" w:rsidRDefault="00D57782" w:rsidP="005E11F5"/>
    <w:p w:rsidR="00D57782" w:rsidRDefault="00D57782" w:rsidP="00D57782">
      <w:pPr>
        <w:pStyle w:val="Caption"/>
        <w:keepNext/>
        <w:spacing w:before="0" w:after="0"/>
        <w:rPr>
          <w:spacing w:val="-2"/>
        </w:rPr>
      </w:pPr>
      <w:bookmarkStart w:id="191" w:name="_Toc275090068"/>
      <w:r w:rsidRPr="0067340E">
        <w:t xml:space="preserve">Table 3-18.  </w:t>
      </w:r>
      <w:r w:rsidRPr="0067340E">
        <w:rPr>
          <w:spacing w:val="-2"/>
        </w:rPr>
        <w:t>Requirements</w:t>
      </w:r>
      <w:r>
        <w:rPr>
          <w:spacing w:val="-2"/>
        </w:rPr>
        <w:t xml:space="preserve"> to protect against damage to concrete by sulfate attack </w:t>
      </w:r>
      <w:r>
        <w:rPr>
          <w:spacing w:val="-2"/>
        </w:rPr>
        <w:br/>
        <w:t>from external sources of sulfate (ACI 2008b).</w:t>
      </w:r>
      <w:bookmarkEnd w:id="191"/>
    </w:p>
    <w:tbl>
      <w:tblPr>
        <w:tblStyle w:val="TableGrid"/>
        <w:tblW w:w="0" w:type="auto"/>
        <w:jc w:val="center"/>
        <w:tblLook w:val="04A0" w:firstRow="1" w:lastRow="0" w:firstColumn="1" w:lastColumn="0" w:noHBand="0" w:noVBand="1"/>
      </w:tblPr>
      <w:tblGrid>
        <w:gridCol w:w="1915"/>
        <w:gridCol w:w="1728"/>
        <w:gridCol w:w="1728"/>
        <w:gridCol w:w="1728"/>
        <w:gridCol w:w="2160"/>
      </w:tblGrid>
      <w:tr w:rsidR="00D57782" w:rsidRPr="00CC555C" w:rsidTr="0067340E">
        <w:trPr>
          <w:jc w:val="center"/>
        </w:trPr>
        <w:tc>
          <w:tcPr>
            <w:tcW w:w="1915" w:type="dxa"/>
            <w:tcBorders>
              <w:top w:val="double" w:sz="4" w:space="0" w:color="auto"/>
              <w:left w:val="double" w:sz="4" w:space="0" w:color="auto"/>
              <w:bottom w:val="double" w:sz="4" w:space="0" w:color="auto"/>
            </w:tcBorders>
            <w:vAlign w:val="center"/>
          </w:tcPr>
          <w:p w:rsidR="00D57782" w:rsidRPr="00CC555C" w:rsidRDefault="00D57782" w:rsidP="0067340E">
            <w:pPr>
              <w:jc w:val="center"/>
              <w:rPr>
                <w:b/>
                <w:sz w:val="20"/>
              </w:rPr>
            </w:pPr>
            <w:r w:rsidRPr="00CC555C">
              <w:rPr>
                <w:b/>
                <w:sz w:val="20"/>
              </w:rPr>
              <w:t xml:space="preserve">Severity of </w:t>
            </w:r>
            <w:r>
              <w:rPr>
                <w:b/>
                <w:sz w:val="20"/>
              </w:rPr>
              <w:t>P</w:t>
            </w:r>
            <w:r w:rsidRPr="00CC555C">
              <w:rPr>
                <w:b/>
                <w:sz w:val="20"/>
              </w:rPr>
              <w:t xml:space="preserve">otential </w:t>
            </w:r>
            <w:r>
              <w:rPr>
                <w:b/>
                <w:sz w:val="20"/>
              </w:rPr>
              <w:t>E</w:t>
            </w:r>
            <w:r w:rsidRPr="00CC555C">
              <w:rPr>
                <w:b/>
                <w:sz w:val="20"/>
              </w:rPr>
              <w:t>xposure</w:t>
            </w:r>
          </w:p>
        </w:tc>
        <w:tc>
          <w:tcPr>
            <w:tcW w:w="1728" w:type="dxa"/>
            <w:tcBorders>
              <w:top w:val="double" w:sz="4" w:space="0" w:color="auto"/>
              <w:bottom w:val="double" w:sz="4" w:space="0" w:color="auto"/>
            </w:tcBorders>
            <w:vAlign w:val="center"/>
          </w:tcPr>
          <w:p w:rsidR="00D57782" w:rsidRPr="00CC555C" w:rsidRDefault="00D57782" w:rsidP="0067340E">
            <w:pPr>
              <w:jc w:val="center"/>
              <w:rPr>
                <w:b/>
                <w:sz w:val="20"/>
              </w:rPr>
            </w:pPr>
            <w:r>
              <w:rPr>
                <w:b/>
                <w:sz w:val="20"/>
              </w:rPr>
              <w:t>Water-Soluble Sulfate (SO</w:t>
            </w:r>
            <w:r w:rsidRPr="00EE265F">
              <w:rPr>
                <w:b/>
                <w:sz w:val="20"/>
                <w:vertAlign w:val="subscript"/>
              </w:rPr>
              <w:t>4</w:t>
            </w:r>
            <w:r>
              <w:rPr>
                <w:b/>
                <w:sz w:val="20"/>
              </w:rPr>
              <w:t>) in Soil, % by mass</w:t>
            </w:r>
            <w:r w:rsidRPr="00EE265F">
              <w:rPr>
                <w:b/>
                <w:sz w:val="20"/>
                <w:vertAlign w:val="superscript"/>
              </w:rPr>
              <w:t>1</w:t>
            </w:r>
          </w:p>
        </w:tc>
        <w:tc>
          <w:tcPr>
            <w:tcW w:w="1728" w:type="dxa"/>
            <w:tcBorders>
              <w:top w:val="double" w:sz="4" w:space="0" w:color="auto"/>
              <w:bottom w:val="double" w:sz="4" w:space="0" w:color="auto"/>
            </w:tcBorders>
            <w:vAlign w:val="center"/>
          </w:tcPr>
          <w:p w:rsidR="00D57782" w:rsidRPr="00CC555C" w:rsidRDefault="00D57782" w:rsidP="0067340E">
            <w:pPr>
              <w:jc w:val="center"/>
              <w:rPr>
                <w:b/>
                <w:sz w:val="20"/>
              </w:rPr>
            </w:pPr>
            <w:r>
              <w:rPr>
                <w:b/>
                <w:sz w:val="20"/>
              </w:rPr>
              <w:t>Sulfate (SO</w:t>
            </w:r>
            <w:r w:rsidRPr="00EE265F">
              <w:rPr>
                <w:b/>
                <w:sz w:val="20"/>
                <w:vertAlign w:val="subscript"/>
              </w:rPr>
              <w:t>4</w:t>
            </w:r>
            <w:r>
              <w:rPr>
                <w:b/>
                <w:sz w:val="20"/>
              </w:rPr>
              <w:t>)</w:t>
            </w:r>
            <w:r w:rsidRPr="00EE265F">
              <w:rPr>
                <w:b/>
                <w:sz w:val="20"/>
                <w:vertAlign w:val="superscript"/>
              </w:rPr>
              <w:t>1</w:t>
            </w:r>
            <w:r>
              <w:rPr>
                <w:b/>
                <w:sz w:val="20"/>
              </w:rPr>
              <w:t xml:space="preserve"> in Water, ppm</w:t>
            </w:r>
          </w:p>
        </w:tc>
        <w:tc>
          <w:tcPr>
            <w:tcW w:w="1728" w:type="dxa"/>
            <w:tcBorders>
              <w:top w:val="double" w:sz="4" w:space="0" w:color="auto"/>
              <w:bottom w:val="double" w:sz="4" w:space="0" w:color="auto"/>
            </w:tcBorders>
            <w:vAlign w:val="center"/>
          </w:tcPr>
          <w:p w:rsidR="00D57782" w:rsidRPr="00CC555C" w:rsidRDefault="00D57782" w:rsidP="0067340E">
            <w:pPr>
              <w:jc w:val="center"/>
              <w:rPr>
                <w:b/>
                <w:sz w:val="20"/>
              </w:rPr>
            </w:pPr>
            <w:r w:rsidRPr="00EE265F">
              <w:rPr>
                <w:b/>
                <w:i/>
                <w:sz w:val="20"/>
              </w:rPr>
              <w:t>w/cm</w:t>
            </w:r>
            <w:r>
              <w:rPr>
                <w:b/>
                <w:sz w:val="20"/>
              </w:rPr>
              <w:t xml:space="preserve"> by Mass, max.</w:t>
            </w:r>
            <w:r w:rsidRPr="00EE265F">
              <w:rPr>
                <w:b/>
                <w:sz w:val="20"/>
                <w:vertAlign w:val="superscript"/>
              </w:rPr>
              <w:t>2, 3</w:t>
            </w:r>
          </w:p>
        </w:tc>
        <w:tc>
          <w:tcPr>
            <w:tcW w:w="2160" w:type="dxa"/>
            <w:tcBorders>
              <w:top w:val="double" w:sz="4" w:space="0" w:color="auto"/>
              <w:bottom w:val="double" w:sz="4" w:space="0" w:color="auto"/>
              <w:right w:val="double" w:sz="4" w:space="0" w:color="auto"/>
            </w:tcBorders>
            <w:vAlign w:val="center"/>
          </w:tcPr>
          <w:p w:rsidR="00D57782" w:rsidRPr="00CC555C" w:rsidRDefault="00D57782" w:rsidP="0067340E">
            <w:pPr>
              <w:jc w:val="center"/>
              <w:rPr>
                <w:b/>
                <w:sz w:val="20"/>
              </w:rPr>
            </w:pPr>
            <w:r>
              <w:rPr>
                <w:b/>
                <w:sz w:val="20"/>
              </w:rPr>
              <w:t>Cementitious Material Requirements</w:t>
            </w:r>
          </w:p>
        </w:tc>
      </w:tr>
      <w:tr w:rsidR="00D57782" w:rsidRPr="00CC555C" w:rsidTr="0067340E">
        <w:trPr>
          <w:trHeight w:val="690"/>
          <w:jc w:val="center"/>
        </w:trPr>
        <w:tc>
          <w:tcPr>
            <w:tcW w:w="1915" w:type="dxa"/>
            <w:tcBorders>
              <w:top w:val="double" w:sz="4" w:space="0" w:color="auto"/>
              <w:left w:val="double" w:sz="4" w:space="0" w:color="auto"/>
            </w:tcBorders>
            <w:vAlign w:val="center"/>
          </w:tcPr>
          <w:p w:rsidR="00D57782" w:rsidRPr="00CC555C" w:rsidRDefault="00D57782" w:rsidP="0067340E">
            <w:pPr>
              <w:jc w:val="center"/>
              <w:rPr>
                <w:sz w:val="20"/>
              </w:rPr>
            </w:pPr>
            <w:r>
              <w:rPr>
                <w:sz w:val="20"/>
              </w:rPr>
              <w:t>Class 0 exposure</w:t>
            </w:r>
          </w:p>
        </w:tc>
        <w:tc>
          <w:tcPr>
            <w:tcW w:w="1728" w:type="dxa"/>
            <w:tcBorders>
              <w:top w:val="double" w:sz="4" w:space="0" w:color="auto"/>
            </w:tcBorders>
            <w:vAlign w:val="center"/>
          </w:tcPr>
          <w:p w:rsidR="00D57782" w:rsidRPr="00CC555C" w:rsidRDefault="00D57782" w:rsidP="0067340E">
            <w:pPr>
              <w:jc w:val="center"/>
              <w:rPr>
                <w:sz w:val="20"/>
              </w:rPr>
            </w:pPr>
            <w:r>
              <w:rPr>
                <w:sz w:val="20"/>
              </w:rPr>
              <w:t>0.00 to 0.10</w:t>
            </w:r>
          </w:p>
        </w:tc>
        <w:tc>
          <w:tcPr>
            <w:tcW w:w="1728" w:type="dxa"/>
            <w:tcBorders>
              <w:top w:val="double" w:sz="4" w:space="0" w:color="auto"/>
            </w:tcBorders>
            <w:vAlign w:val="center"/>
          </w:tcPr>
          <w:p w:rsidR="00D57782" w:rsidRPr="00CC555C" w:rsidRDefault="00D57782" w:rsidP="0067340E">
            <w:pPr>
              <w:jc w:val="center"/>
              <w:rPr>
                <w:sz w:val="20"/>
              </w:rPr>
            </w:pPr>
            <w:r>
              <w:rPr>
                <w:sz w:val="20"/>
              </w:rPr>
              <w:t>0 to 150</w:t>
            </w:r>
          </w:p>
        </w:tc>
        <w:tc>
          <w:tcPr>
            <w:tcW w:w="1728" w:type="dxa"/>
            <w:tcBorders>
              <w:top w:val="double" w:sz="4" w:space="0" w:color="auto"/>
            </w:tcBorders>
            <w:vAlign w:val="center"/>
          </w:tcPr>
          <w:p w:rsidR="00D57782" w:rsidRPr="00CC555C" w:rsidRDefault="00D57782" w:rsidP="0067340E">
            <w:pPr>
              <w:jc w:val="center"/>
              <w:rPr>
                <w:sz w:val="20"/>
              </w:rPr>
            </w:pPr>
            <w:r>
              <w:rPr>
                <w:sz w:val="20"/>
              </w:rPr>
              <w:t>No special requirements for sulfate resistance</w:t>
            </w:r>
          </w:p>
        </w:tc>
        <w:tc>
          <w:tcPr>
            <w:tcW w:w="2160" w:type="dxa"/>
            <w:tcBorders>
              <w:top w:val="double" w:sz="4" w:space="0" w:color="auto"/>
              <w:right w:val="double" w:sz="4" w:space="0" w:color="auto"/>
            </w:tcBorders>
            <w:vAlign w:val="center"/>
          </w:tcPr>
          <w:p w:rsidR="00D57782" w:rsidRPr="00CC555C" w:rsidRDefault="00D57782" w:rsidP="0067340E">
            <w:pPr>
              <w:jc w:val="center"/>
              <w:rPr>
                <w:sz w:val="20"/>
              </w:rPr>
            </w:pPr>
            <w:r>
              <w:rPr>
                <w:sz w:val="20"/>
              </w:rPr>
              <w:t>No special requirements for sulfate resistance</w:t>
            </w:r>
          </w:p>
        </w:tc>
      </w:tr>
      <w:tr w:rsidR="00D57782" w:rsidRPr="00CC555C" w:rsidTr="0067340E">
        <w:trPr>
          <w:trHeight w:val="690"/>
          <w:jc w:val="center"/>
        </w:trPr>
        <w:tc>
          <w:tcPr>
            <w:tcW w:w="1915" w:type="dxa"/>
            <w:tcBorders>
              <w:left w:val="double" w:sz="4" w:space="0" w:color="auto"/>
            </w:tcBorders>
            <w:vAlign w:val="center"/>
          </w:tcPr>
          <w:p w:rsidR="00D57782" w:rsidRPr="00CC555C" w:rsidRDefault="00D57782" w:rsidP="0067340E">
            <w:pPr>
              <w:jc w:val="center"/>
              <w:rPr>
                <w:sz w:val="20"/>
              </w:rPr>
            </w:pPr>
            <w:r>
              <w:rPr>
                <w:sz w:val="20"/>
              </w:rPr>
              <w:t>Class 1 exposure</w:t>
            </w:r>
          </w:p>
        </w:tc>
        <w:tc>
          <w:tcPr>
            <w:tcW w:w="1728" w:type="dxa"/>
            <w:vAlign w:val="center"/>
          </w:tcPr>
          <w:p w:rsidR="00D57782" w:rsidRPr="00CC555C" w:rsidRDefault="00D57782" w:rsidP="0067340E">
            <w:pPr>
              <w:jc w:val="center"/>
              <w:rPr>
                <w:sz w:val="20"/>
              </w:rPr>
            </w:pPr>
            <w:r>
              <w:rPr>
                <w:sz w:val="20"/>
              </w:rPr>
              <w:t>&gt; 0.10 and &lt; 0.20</w:t>
            </w:r>
          </w:p>
        </w:tc>
        <w:tc>
          <w:tcPr>
            <w:tcW w:w="1728" w:type="dxa"/>
            <w:vAlign w:val="center"/>
          </w:tcPr>
          <w:p w:rsidR="00D57782" w:rsidRPr="00CC555C" w:rsidRDefault="00D57782" w:rsidP="0067340E">
            <w:pPr>
              <w:jc w:val="center"/>
              <w:rPr>
                <w:sz w:val="20"/>
              </w:rPr>
            </w:pPr>
            <w:r>
              <w:rPr>
                <w:sz w:val="20"/>
              </w:rPr>
              <w:t>&gt; 150 and &lt; 1500</w:t>
            </w:r>
          </w:p>
        </w:tc>
        <w:tc>
          <w:tcPr>
            <w:tcW w:w="1728" w:type="dxa"/>
            <w:vAlign w:val="center"/>
          </w:tcPr>
          <w:p w:rsidR="00D57782" w:rsidRPr="00CC555C" w:rsidRDefault="00D57782" w:rsidP="0067340E">
            <w:pPr>
              <w:jc w:val="center"/>
              <w:rPr>
                <w:sz w:val="20"/>
              </w:rPr>
            </w:pPr>
            <w:r>
              <w:rPr>
                <w:sz w:val="20"/>
              </w:rPr>
              <w:t>0.50</w:t>
            </w:r>
            <w:r w:rsidRPr="00EE265F">
              <w:rPr>
                <w:sz w:val="20"/>
                <w:vertAlign w:val="superscript"/>
              </w:rPr>
              <w:t>3</w:t>
            </w:r>
          </w:p>
        </w:tc>
        <w:tc>
          <w:tcPr>
            <w:tcW w:w="2160" w:type="dxa"/>
            <w:tcBorders>
              <w:right w:val="double" w:sz="4" w:space="0" w:color="auto"/>
            </w:tcBorders>
            <w:vAlign w:val="center"/>
          </w:tcPr>
          <w:p w:rsidR="00D57782" w:rsidRPr="00CC555C" w:rsidRDefault="00D57782" w:rsidP="0067340E">
            <w:pPr>
              <w:jc w:val="center"/>
              <w:rPr>
                <w:sz w:val="20"/>
              </w:rPr>
            </w:pPr>
            <w:r>
              <w:rPr>
                <w:sz w:val="20"/>
              </w:rPr>
              <w:t>ASTM C150 Type II or equivalent</w:t>
            </w:r>
            <w:r>
              <w:rPr>
                <w:sz w:val="20"/>
                <w:vertAlign w:val="superscript"/>
              </w:rPr>
              <w:t>4</w:t>
            </w:r>
          </w:p>
        </w:tc>
      </w:tr>
      <w:tr w:rsidR="00D57782" w:rsidRPr="00CC555C" w:rsidTr="0067340E">
        <w:trPr>
          <w:trHeight w:val="690"/>
          <w:jc w:val="center"/>
        </w:trPr>
        <w:tc>
          <w:tcPr>
            <w:tcW w:w="1915" w:type="dxa"/>
            <w:tcBorders>
              <w:left w:val="double" w:sz="4" w:space="0" w:color="auto"/>
            </w:tcBorders>
            <w:vAlign w:val="center"/>
          </w:tcPr>
          <w:p w:rsidR="00D57782" w:rsidRDefault="00D57782" w:rsidP="0067340E">
            <w:pPr>
              <w:jc w:val="center"/>
              <w:rPr>
                <w:sz w:val="20"/>
              </w:rPr>
            </w:pPr>
            <w:r>
              <w:rPr>
                <w:sz w:val="20"/>
              </w:rPr>
              <w:t>Class 2 exposure</w:t>
            </w:r>
          </w:p>
        </w:tc>
        <w:tc>
          <w:tcPr>
            <w:tcW w:w="1728" w:type="dxa"/>
            <w:vAlign w:val="center"/>
          </w:tcPr>
          <w:p w:rsidR="00D57782" w:rsidRDefault="00D57782" w:rsidP="0067340E">
            <w:pPr>
              <w:jc w:val="center"/>
              <w:rPr>
                <w:sz w:val="20"/>
              </w:rPr>
            </w:pPr>
            <w:r>
              <w:rPr>
                <w:sz w:val="20"/>
              </w:rPr>
              <w:t>0.20 to &lt; 2.0</w:t>
            </w:r>
          </w:p>
        </w:tc>
        <w:tc>
          <w:tcPr>
            <w:tcW w:w="1728" w:type="dxa"/>
            <w:vAlign w:val="center"/>
          </w:tcPr>
          <w:p w:rsidR="00D57782" w:rsidRDefault="00D57782" w:rsidP="0067340E">
            <w:pPr>
              <w:jc w:val="center"/>
              <w:rPr>
                <w:sz w:val="20"/>
              </w:rPr>
            </w:pPr>
            <w:r>
              <w:rPr>
                <w:sz w:val="20"/>
              </w:rPr>
              <w:t>1500 to &lt; 10,000</w:t>
            </w:r>
          </w:p>
        </w:tc>
        <w:tc>
          <w:tcPr>
            <w:tcW w:w="1728" w:type="dxa"/>
            <w:vAlign w:val="center"/>
          </w:tcPr>
          <w:p w:rsidR="00D57782" w:rsidRDefault="00D57782" w:rsidP="0067340E">
            <w:pPr>
              <w:jc w:val="center"/>
              <w:rPr>
                <w:sz w:val="20"/>
              </w:rPr>
            </w:pPr>
            <w:r>
              <w:rPr>
                <w:sz w:val="20"/>
              </w:rPr>
              <w:t>0.45</w:t>
            </w:r>
            <w:r w:rsidRPr="00EE265F">
              <w:rPr>
                <w:sz w:val="20"/>
                <w:vertAlign w:val="superscript"/>
              </w:rPr>
              <w:t>3</w:t>
            </w:r>
          </w:p>
        </w:tc>
        <w:tc>
          <w:tcPr>
            <w:tcW w:w="2160" w:type="dxa"/>
            <w:tcBorders>
              <w:right w:val="double" w:sz="4" w:space="0" w:color="auto"/>
            </w:tcBorders>
            <w:vAlign w:val="center"/>
          </w:tcPr>
          <w:p w:rsidR="00D57782" w:rsidRPr="00CC555C" w:rsidRDefault="00D57782" w:rsidP="0067340E">
            <w:pPr>
              <w:jc w:val="center"/>
              <w:rPr>
                <w:sz w:val="20"/>
              </w:rPr>
            </w:pPr>
            <w:r>
              <w:rPr>
                <w:sz w:val="20"/>
              </w:rPr>
              <w:t>ASTM C150 Type V or equivalent</w:t>
            </w:r>
            <w:r>
              <w:rPr>
                <w:sz w:val="20"/>
                <w:vertAlign w:val="superscript"/>
              </w:rPr>
              <w:t>4</w:t>
            </w:r>
          </w:p>
        </w:tc>
      </w:tr>
      <w:tr w:rsidR="00D57782" w:rsidRPr="00CC555C" w:rsidTr="0067340E">
        <w:trPr>
          <w:trHeight w:val="690"/>
          <w:jc w:val="center"/>
        </w:trPr>
        <w:tc>
          <w:tcPr>
            <w:tcW w:w="1915" w:type="dxa"/>
            <w:tcBorders>
              <w:left w:val="double" w:sz="4" w:space="0" w:color="auto"/>
            </w:tcBorders>
            <w:vAlign w:val="center"/>
          </w:tcPr>
          <w:p w:rsidR="00D57782" w:rsidRDefault="00D57782" w:rsidP="0067340E">
            <w:pPr>
              <w:jc w:val="center"/>
              <w:rPr>
                <w:sz w:val="20"/>
              </w:rPr>
            </w:pPr>
            <w:r>
              <w:rPr>
                <w:sz w:val="20"/>
              </w:rPr>
              <w:t>Class 3 exposure</w:t>
            </w:r>
          </w:p>
        </w:tc>
        <w:tc>
          <w:tcPr>
            <w:tcW w:w="1728" w:type="dxa"/>
            <w:vAlign w:val="center"/>
          </w:tcPr>
          <w:p w:rsidR="00D57782" w:rsidRDefault="00D57782" w:rsidP="0067340E">
            <w:pPr>
              <w:jc w:val="center"/>
              <w:rPr>
                <w:sz w:val="20"/>
              </w:rPr>
            </w:pPr>
            <w:r>
              <w:rPr>
                <w:sz w:val="20"/>
              </w:rPr>
              <w:t>2.0 or greater</w:t>
            </w:r>
          </w:p>
        </w:tc>
        <w:tc>
          <w:tcPr>
            <w:tcW w:w="1728" w:type="dxa"/>
            <w:vAlign w:val="center"/>
          </w:tcPr>
          <w:p w:rsidR="00D57782" w:rsidRDefault="00D57782" w:rsidP="0067340E">
            <w:pPr>
              <w:jc w:val="center"/>
              <w:rPr>
                <w:sz w:val="20"/>
              </w:rPr>
            </w:pPr>
            <w:r>
              <w:rPr>
                <w:sz w:val="20"/>
              </w:rPr>
              <w:t>10,000 or greater</w:t>
            </w:r>
          </w:p>
        </w:tc>
        <w:tc>
          <w:tcPr>
            <w:tcW w:w="1728" w:type="dxa"/>
            <w:vAlign w:val="center"/>
          </w:tcPr>
          <w:p w:rsidR="00D57782" w:rsidRDefault="00D57782" w:rsidP="0067340E">
            <w:pPr>
              <w:jc w:val="center"/>
              <w:rPr>
                <w:sz w:val="20"/>
              </w:rPr>
            </w:pPr>
            <w:r>
              <w:rPr>
                <w:sz w:val="20"/>
              </w:rPr>
              <w:t>0.40</w:t>
            </w:r>
            <w:r w:rsidRPr="00EE265F">
              <w:rPr>
                <w:sz w:val="20"/>
                <w:vertAlign w:val="superscript"/>
              </w:rPr>
              <w:t>3</w:t>
            </w:r>
          </w:p>
        </w:tc>
        <w:tc>
          <w:tcPr>
            <w:tcW w:w="2160" w:type="dxa"/>
            <w:tcBorders>
              <w:right w:val="double" w:sz="4" w:space="0" w:color="auto"/>
            </w:tcBorders>
            <w:vAlign w:val="center"/>
          </w:tcPr>
          <w:p w:rsidR="00D57782" w:rsidRPr="00CC555C" w:rsidRDefault="00D57782" w:rsidP="0067340E">
            <w:pPr>
              <w:jc w:val="center"/>
              <w:rPr>
                <w:sz w:val="20"/>
              </w:rPr>
            </w:pPr>
            <w:r>
              <w:rPr>
                <w:sz w:val="20"/>
              </w:rPr>
              <w:t>ASTM C150 Type V plus pozzolan or slag</w:t>
            </w:r>
            <w:r>
              <w:rPr>
                <w:sz w:val="20"/>
                <w:vertAlign w:val="superscript"/>
              </w:rPr>
              <w:t>4</w:t>
            </w:r>
          </w:p>
        </w:tc>
      </w:tr>
      <w:tr w:rsidR="00D57782" w:rsidRPr="00CC555C" w:rsidTr="0067340E">
        <w:trPr>
          <w:trHeight w:val="690"/>
          <w:jc w:val="center"/>
        </w:trPr>
        <w:tc>
          <w:tcPr>
            <w:tcW w:w="1915" w:type="dxa"/>
            <w:tcBorders>
              <w:left w:val="double" w:sz="4" w:space="0" w:color="auto"/>
              <w:bottom w:val="double" w:sz="4" w:space="0" w:color="auto"/>
            </w:tcBorders>
            <w:vAlign w:val="center"/>
          </w:tcPr>
          <w:p w:rsidR="00D57782" w:rsidRDefault="00D57782" w:rsidP="0067340E">
            <w:pPr>
              <w:jc w:val="center"/>
              <w:rPr>
                <w:sz w:val="20"/>
              </w:rPr>
            </w:pPr>
            <w:r>
              <w:rPr>
                <w:sz w:val="20"/>
              </w:rPr>
              <w:t>Seawater exposure</w:t>
            </w:r>
          </w:p>
        </w:tc>
        <w:tc>
          <w:tcPr>
            <w:tcW w:w="1728" w:type="dxa"/>
            <w:tcBorders>
              <w:bottom w:val="double" w:sz="4" w:space="0" w:color="auto"/>
            </w:tcBorders>
            <w:vAlign w:val="center"/>
          </w:tcPr>
          <w:p w:rsidR="00D57782" w:rsidRDefault="00D57782" w:rsidP="0067340E">
            <w:pPr>
              <w:jc w:val="center"/>
              <w:rPr>
                <w:sz w:val="20"/>
              </w:rPr>
            </w:pPr>
            <w:r>
              <w:rPr>
                <w:sz w:val="20"/>
              </w:rPr>
              <w:t>—</w:t>
            </w:r>
          </w:p>
        </w:tc>
        <w:tc>
          <w:tcPr>
            <w:tcW w:w="1728" w:type="dxa"/>
            <w:tcBorders>
              <w:bottom w:val="double" w:sz="4" w:space="0" w:color="auto"/>
            </w:tcBorders>
            <w:vAlign w:val="center"/>
          </w:tcPr>
          <w:p w:rsidR="00D57782" w:rsidRDefault="00D57782" w:rsidP="0067340E">
            <w:pPr>
              <w:jc w:val="center"/>
              <w:rPr>
                <w:sz w:val="20"/>
              </w:rPr>
            </w:pPr>
            <w:r>
              <w:rPr>
                <w:sz w:val="20"/>
              </w:rPr>
              <w:t>—</w:t>
            </w:r>
          </w:p>
        </w:tc>
        <w:tc>
          <w:tcPr>
            <w:tcW w:w="1728" w:type="dxa"/>
            <w:tcBorders>
              <w:bottom w:val="double" w:sz="4" w:space="0" w:color="auto"/>
            </w:tcBorders>
            <w:vAlign w:val="center"/>
          </w:tcPr>
          <w:p w:rsidR="00D57782" w:rsidRDefault="00D57782" w:rsidP="0067340E">
            <w:pPr>
              <w:jc w:val="center"/>
              <w:rPr>
                <w:sz w:val="20"/>
              </w:rPr>
            </w:pPr>
            <w:r>
              <w:rPr>
                <w:sz w:val="20"/>
              </w:rPr>
              <w:t>See Section 6.4</w:t>
            </w:r>
          </w:p>
        </w:tc>
        <w:tc>
          <w:tcPr>
            <w:tcW w:w="2160" w:type="dxa"/>
            <w:tcBorders>
              <w:bottom w:val="double" w:sz="4" w:space="0" w:color="auto"/>
              <w:right w:val="double" w:sz="4" w:space="0" w:color="auto"/>
            </w:tcBorders>
            <w:vAlign w:val="center"/>
          </w:tcPr>
          <w:p w:rsidR="00D57782" w:rsidRDefault="00D57782" w:rsidP="0067340E">
            <w:pPr>
              <w:jc w:val="center"/>
              <w:rPr>
                <w:sz w:val="20"/>
              </w:rPr>
            </w:pPr>
            <w:r>
              <w:rPr>
                <w:sz w:val="20"/>
              </w:rPr>
              <w:t>See Section 6.4</w:t>
            </w:r>
          </w:p>
        </w:tc>
      </w:tr>
    </w:tbl>
    <w:p w:rsidR="00D57782" w:rsidRPr="002A1814" w:rsidRDefault="00D57782" w:rsidP="00D57782">
      <w:pPr>
        <w:ind w:left="180" w:hanging="180"/>
        <w:rPr>
          <w:sz w:val="16"/>
          <w:szCs w:val="16"/>
        </w:rPr>
      </w:pPr>
      <w:r w:rsidRPr="002A1814">
        <w:rPr>
          <w:sz w:val="16"/>
          <w:szCs w:val="16"/>
          <w:vertAlign w:val="superscript"/>
        </w:rPr>
        <w:t>1</w:t>
      </w:r>
      <w:r w:rsidRPr="002A1814">
        <w:rPr>
          <w:sz w:val="16"/>
          <w:szCs w:val="16"/>
        </w:rPr>
        <w:tab/>
        <w:t>Sulfate expressed as SO</w:t>
      </w:r>
      <w:r w:rsidRPr="002A1814">
        <w:rPr>
          <w:sz w:val="16"/>
          <w:szCs w:val="16"/>
          <w:vertAlign w:val="subscript"/>
        </w:rPr>
        <w:t>4</w:t>
      </w:r>
      <w:r w:rsidRPr="002A1814">
        <w:rPr>
          <w:sz w:val="16"/>
          <w:szCs w:val="16"/>
        </w:rPr>
        <w:t xml:space="preserve"> is related to sulfate expressed as SO</w:t>
      </w:r>
      <w:r w:rsidRPr="002A1814">
        <w:rPr>
          <w:sz w:val="16"/>
          <w:szCs w:val="16"/>
          <w:vertAlign w:val="subscript"/>
        </w:rPr>
        <w:t>3</w:t>
      </w:r>
      <w:r w:rsidRPr="002A1814">
        <w:rPr>
          <w:sz w:val="16"/>
          <w:szCs w:val="16"/>
        </w:rPr>
        <w:t>, as given in reports of chemical analysis of portland cements as follows: SO</w:t>
      </w:r>
      <w:r w:rsidRPr="002A1814">
        <w:rPr>
          <w:sz w:val="16"/>
          <w:szCs w:val="16"/>
          <w:vertAlign w:val="subscript"/>
        </w:rPr>
        <w:t>3</w:t>
      </w:r>
      <w:r w:rsidRPr="002A1814">
        <w:rPr>
          <w:sz w:val="16"/>
          <w:szCs w:val="16"/>
        </w:rPr>
        <w:t>% x 1.2 = SO</w:t>
      </w:r>
      <w:r w:rsidRPr="002A1814">
        <w:rPr>
          <w:sz w:val="16"/>
          <w:szCs w:val="16"/>
          <w:vertAlign w:val="subscript"/>
        </w:rPr>
        <w:t>4</w:t>
      </w:r>
      <w:r w:rsidRPr="002A1814">
        <w:rPr>
          <w:sz w:val="16"/>
          <w:szCs w:val="16"/>
        </w:rPr>
        <w:t>%.</w:t>
      </w:r>
    </w:p>
    <w:p w:rsidR="00D57782" w:rsidRPr="002A1814" w:rsidRDefault="00D57782" w:rsidP="00D57782">
      <w:pPr>
        <w:ind w:left="180" w:hanging="180"/>
        <w:rPr>
          <w:sz w:val="16"/>
          <w:szCs w:val="16"/>
        </w:rPr>
      </w:pPr>
      <w:r w:rsidRPr="002A1814">
        <w:rPr>
          <w:sz w:val="16"/>
          <w:szCs w:val="16"/>
          <w:vertAlign w:val="superscript"/>
        </w:rPr>
        <w:t>2</w:t>
      </w:r>
      <w:r w:rsidRPr="002A1814">
        <w:rPr>
          <w:sz w:val="16"/>
          <w:szCs w:val="16"/>
        </w:rPr>
        <w:tab/>
        <w:t xml:space="preserve">ACI 318, Chapter 4, includes requirements for special exposure conditions such as steel-reinforced concrete that may be exposed to chlorides.  For concrete likely to be subjected </w:t>
      </w:r>
      <w:r w:rsidR="007543E3" w:rsidRPr="002A1814">
        <w:rPr>
          <w:sz w:val="16"/>
          <w:szCs w:val="16"/>
        </w:rPr>
        <w:t>to</w:t>
      </w:r>
      <w:r w:rsidRPr="002A1814">
        <w:rPr>
          <w:sz w:val="16"/>
          <w:szCs w:val="16"/>
        </w:rPr>
        <w:t xml:space="preserve"> these exposure conditions, the maximum </w:t>
      </w:r>
      <w:r w:rsidRPr="002A1814">
        <w:rPr>
          <w:i/>
          <w:sz w:val="16"/>
          <w:szCs w:val="16"/>
        </w:rPr>
        <w:t>w/cm</w:t>
      </w:r>
      <w:r w:rsidRPr="002A1814">
        <w:rPr>
          <w:sz w:val="16"/>
          <w:szCs w:val="16"/>
        </w:rPr>
        <w:t xml:space="preserve"> should be that specified in ACI 318, Chapter 4, if it is lower than that stated in Table 6.3 of 201.2R.</w:t>
      </w:r>
    </w:p>
    <w:p w:rsidR="00D57782" w:rsidRPr="002A1814" w:rsidRDefault="00D57782" w:rsidP="00D57782">
      <w:pPr>
        <w:ind w:left="180" w:hanging="180"/>
        <w:rPr>
          <w:sz w:val="16"/>
          <w:szCs w:val="16"/>
        </w:rPr>
      </w:pPr>
      <w:r w:rsidRPr="002A1814">
        <w:rPr>
          <w:sz w:val="16"/>
          <w:szCs w:val="16"/>
          <w:vertAlign w:val="superscript"/>
        </w:rPr>
        <w:t>3</w:t>
      </w:r>
      <w:r w:rsidRPr="002A1814">
        <w:rPr>
          <w:sz w:val="16"/>
          <w:szCs w:val="16"/>
        </w:rPr>
        <w:tab/>
        <w:t xml:space="preserve">Values applicable to normal weight concrete.  They are also applicable to structural lightweight concrete except that the maximum </w:t>
      </w:r>
      <w:r w:rsidRPr="002A1814">
        <w:rPr>
          <w:i/>
          <w:sz w:val="16"/>
          <w:szCs w:val="16"/>
        </w:rPr>
        <w:t>w/cm</w:t>
      </w:r>
      <w:r w:rsidRPr="002A1814">
        <w:rPr>
          <w:sz w:val="16"/>
          <w:szCs w:val="16"/>
        </w:rPr>
        <w:t xml:space="preserve"> ratios 0.50, 0.45, and 0.40 should be replaced by specified 28-day compressive strengths of 3750, 4250, and 4750 psi, respectively.</w:t>
      </w:r>
    </w:p>
    <w:p w:rsidR="00D57782" w:rsidRPr="002A1814" w:rsidRDefault="00D57782" w:rsidP="00D57782">
      <w:pPr>
        <w:ind w:left="180" w:hanging="180"/>
        <w:rPr>
          <w:sz w:val="16"/>
          <w:szCs w:val="16"/>
        </w:rPr>
      </w:pPr>
      <w:r w:rsidRPr="002A1814">
        <w:rPr>
          <w:sz w:val="16"/>
          <w:szCs w:val="16"/>
          <w:vertAlign w:val="superscript"/>
        </w:rPr>
        <w:t>4</w:t>
      </w:r>
      <w:r w:rsidRPr="002A1814">
        <w:rPr>
          <w:sz w:val="16"/>
          <w:szCs w:val="16"/>
        </w:rPr>
        <w:tab/>
        <w:t>For Class 1 exposure, equivalents are described in Sections 6.2.5, 6.2.6, and 6.2.9.  For Class 2 exposure, equivalents are described in Sections 6.2.5, 6.2.7, and 6.2.9.  For Class 3 exposure, pozzolan and slag recommendations are described in Sections 6.2.5, 6.2.8, and 6.2.9.</w:t>
      </w:r>
    </w:p>
    <w:p w:rsidR="00D57782" w:rsidRDefault="00D57782" w:rsidP="005E11F5"/>
    <w:p w:rsidR="00436095" w:rsidRDefault="00436095" w:rsidP="00436095"/>
    <w:p w:rsidR="004774B9" w:rsidRPr="003D2EB3" w:rsidRDefault="004774B9" w:rsidP="00436095">
      <w:pPr>
        <w:pStyle w:val="Heading3"/>
      </w:pPr>
      <w:bookmarkStart w:id="192" w:name="_Toc295918676"/>
      <w:r>
        <w:t xml:space="preserve">Mixture </w:t>
      </w:r>
      <w:r w:rsidR="00436095">
        <w:t>D</w:t>
      </w:r>
      <w:r>
        <w:t xml:space="preserve">esign and </w:t>
      </w:r>
      <w:r w:rsidR="00436095">
        <w:t>P</w:t>
      </w:r>
      <w:r>
        <w:t>roportioning</w:t>
      </w:r>
      <w:bookmarkEnd w:id="192"/>
    </w:p>
    <w:p w:rsidR="004774B9" w:rsidRDefault="004774B9" w:rsidP="005E11F5">
      <w:r>
        <w:t xml:space="preserve">Mixture design is the process of determining required and specifiable properties of a </w:t>
      </w:r>
      <w:r w:rsidR="00B55EC9">
        <w:t>concrete</w:t>
      </w:r>
      <w:r>
        <w:t xml:space="preserve"> mixture, considering the intended use, geometry, and exposure conditions.  It can include setting desired properties of the fresh concrete (e.g. slump, air content, and so on), mechanical and durability requirements of the hardened concrete (e.g. strength, permeability, ASR resistance, and so on), and possibly limitations on specific ingredients (e.g. minimum cement content, maximum allowable limit on SCMs, and so on). </w:t>
      </w:r>
      <w:r w:rsidR="00732EFE">
        <w:t xml:space="preserve"> </w:t>
      </w:r>
      <w:r>
        <w:t>The mixture design forms th</w:t>
      </w:r>
      <w:r w:rsidR="00436095">
        <w:t>e basis for the specification.</w:t>
      </w:r>
    </w:p>
    <w:p w:rsidR="004774B9" w:rsidRDefault="004774B9" w:rsidP="005E11F5">
      <w:r>
        <w:t>Once the mix design is established, mixture proportioning determines the quantities of concrete making constituents, considering local material availability and the given mixture design requirements.  Together, the mixture design and proportioning process must consider the following factors:</w:t>
      </w:r>
    </w:p>
    <w:p w:rsidR="004774B9" w:rsidRDefault="004774B9" w:rsidP="005E11F5"/>
    <w:p w:rsidR="004774B9" w:rsidRPr="00C41F35" w:rsidRDefault="004774B9" w:rsidP="005B140A">
      <w:pPr>
        <w:pStyle w:val="ListParagraph"/>
        <w:numPr>
          <w:ilvl w:val="0"/>
          <w:numId w:val="17"/>
        </w:numPr>
        <w:adjustRightInd w:val="0"/>
        <w:ind w:left="720"/>
        <w:rPr>
          <w:spacing w:val="-2"/>
        </w:rPr>
      </w:pPr>
      <w:r>
        <w:rPr>
          <w:spacing w:val="-2"/>
        </w:rPr>
        <w:t>Workability</w:t>
      </w:r>
      <w:r w:rsidR="00DF35C4">
        <w:rPr>
          <w:spacing w:val="-2"/>
        </w:rPr>
        <w:t>.</w:t>
      </w:r>
    </w:p>
    <w:p w:rsidR="004774B9" w:rsidRDefault="004774B9" w:rsidP="005B140A">
      <w:pPr>
        <w:pStyle w:val="ListParagraph"/>
        <w:numPr>
          <w:ilvl w:val="0"/>
          <w:numId w:val="17"/>
        </w:numPr>
        <w:adjustRightInd w:val="0"/>
        <w:ind w:left="720"/>
        <w:rPr>
          <w:spacing w:val="-2"/>
        </w:rPr>
      </w:pPr>
      <w:r>
        <w:rPr>
          <w:spacing w:val="-2"/>
        </w:rPr>
        <w:t>Strength</w:t>
      </w:r>
      <w:r w:rsidR="00DF35C4">
        <w:rPr>
          <w:spacing w:val="-2"/>
        </w:rPr>
        <w:t>.</w:t>
      </w:r>
    </w:p>
    <w:p w:rsidR="004774B9" w:rsidRDefault="004774B9" w:rsidP="005B140A">
      <w:pPr>
        <w:pStyle w:val="ListParagraph"/>
        <w:numPr>
          <w:ilvl w:val="0"/>
          <w:numId w:val="17"/>
        </w:numPr>
        <w:adjustRightInd w:val="0"/>
        <w:ind w:left="720"/>
        <w:rPr>
          <w:spacing w:val="-2"/>
        </w:rPr>
      </w:pPr>
      <w:r>
        <w:rPr>
          <w:spacing w:val="-2"/>
        </w:rPr>
        <w:t>Durability</w:t>
      </w:r>
      <w:r w:rsidR="00DF35C4">
        <w:rPr>
          <w:spacing w:val="-2"/>
        </w:rPr>
        <w:t>.</w:t>
      </w:r>
    </w:p>
    <w:p w:rsidR="004774B9" w:rsidRDefault="004774B9" w:rsidP="005B140A">
      <w:pPr>
        <w:pStyle w:val="ListParagraph"/>
        <w:numPr>
          <w:ilvl w:val="0"/>
          <w:numId w:val="17"/>
        </w:numPr>
        <w:adjustRightInd w:val="0"/>
        <w:ind w:left="720"/>
        <w:rPr>
          <w:spacing w:val="-2"/>
        </w:rPr>
      </w:pPr>
      <w:r>
        <w:rPr>
          <w:spacing w:val="-2"/>
        </w:rPr>
        <w:t>Economy</w:t>
      </w:r>
      <w:r w:rsidR="00DF35C4">
        <w:rPr>
          <w:spacing w:val="-2"/>
        </w:rPr>
        <w:t>.</w:t>
      </w:r>
    </w:p>
    <w:p w:rsidR="004774B9" w:rsidRDefault="004774B9" w:rsidP="005B140A">
      <w:pPr>
        <w:pStyle w:val="ListParagraph"/>
        <w:numPr>
          <w:ilvl w:val="0"/>
          <w:numId w:val="17"/>
        </w:numPr>
        <w:adjustRightInd w:val="0"/>
        <w:ind w:left="720"/>
        <w:rPr>
          <w:spacing w:val="-2"/>
        </w:rPr>
      </w:pPr>
      <w:r>
        <w:rPr>
          <w:spacing w:val="-2"/>
        </w:rPr>
        <w:t>Environmental and social impacts</w:t>
      </w:r>
      <w:r w:rsidR="00DF35C4">
        <w:rPr>
          <w:spacing w:val="-2"/>
        </w:rPr>
        <w:t>.</w:t>
      </w:r>
    </w:p>
    <w:p w:rsidR="004774B9" w:rsidRDefault="004774B9" w:rsidP="004774B9">
      <w:pPr>
        <w:adjustRightInd w:val="0"/>
        <w:rPr>
          <w:spacing w:val="-2"/>
        </w:rPr>
      </w:pPr>
    </w:p>
    <w:p w:rsidR="004774B9" w:rsidRDefault="004774B9" w:rsidP="005E11F5">
      <w:r>
        <w:t>The last point is increasingly becoming important as concrete engineers are being asked to look beyond traditional design factors and include consideration of how their choices locally and global impact the environment and society.</w:t>
      </w:r>
    </w:p>
    <w:p w:rsidR="004774B9" w:rsidRDefault="004774B9" w:rsidP="005E11F5"/>
    <w:p w:rsidR="004774B9" w:rsidRDefault="00732EFE" w:rsidP="00732EFE">
      <w:pPr>
        <w:pStyle w:val="Heading4"/>
      </w:pPr>
      <w:bookmarkStart w:id="193" w:name="_Toc295918677"/>
      <w:r>
        <w:t>S</w:t>
      </w:r>
      <w:r w:rsidR="004774B9">
        <w:t xml:space="preserve">election of </w:t>
      </w:r>
      <w:r w:rsidR="00B55EC9">
        <w:t>Concrete</w:t>
      </w:r>
      <w:r w:rsidR="004774B9">
        <w:t xml:space="preserve"> </w:t>
      </w:r>
      <w:r>
        <w:t>M</w:t>
      </w:r>
      <w:r w:rsidR="004774B9">
        <w:t xml:space="preserve">ixture </w:t>
      </w:r>
      <w:r>
        <w:t>C</w:t>
      </w:r>
      <w:r w:rsidR="004774B9">
        <w:t>haracteristics</w:t>
      </w:r>
      <w:bookmarkEnd w:id="193"/>
    </w:p>
    <w:p w:rsidR="004774B9" w:rsidRDefault="006F6E9A" w:rsidP="005E11F5">
      <w:r>
        <w:t>Kosmatka, Kerkhoff, and Panarese</w:t>
      </w:r>
      <w:r w:rsidR="004774B9">
        <w:t xml:space="preserve"> (2002) provides an excellent description of an approach for selecting </w:t>
      </w:r>
      <w:r w:rsidR="00B55EC9">
        <w:t>concrete</w:t>
      </w:r>
      <w:r w:rsidR="004774B9">
        <w:t xml:space="preserve"> mixture characteristics.  In simple terms, the intended use of the </w:t>
      </w:r>
      <w:r w:rsidR="00B55EC9">
        <w:t>concrete</w:t>
      </w:r>
      <w:r w:rsidR="004774B9">
        <w:t>, the exposure conditions to which it will be subjected, and the required physical properties of the hardened concrete to meet the needs of the structure must be considered.  In a practical sense, the following mixture design characteristics need to be established.</w:t>
      </w:r>
    </w:p>
    <w:p w:rsidR="004774B9" w:rsidRDefault="004774B9" w:rsidP="005E11F5"/>
    <w:p w:rsidR="004774B9" w:rsidRDefault="004774B9" w:rsidP="00732EFE">
      <w:pPr>
        <w:pStyle w:val="Heading5"/>
      </w:pPr>
      <w:r>
        <w:t>Water-</w:t>
      </w:r>
      <w:r w:rsidR="00B80DB5">
        <w:t>C</w:t>
      </w:r>
      <w:r>
        <w:t xml:space="preserve">ementitious </w:t>
      </w:r>
      <w:r w:rsidR="00B80DB5">
        <w:t>M</w:t>
      </w:r>
      <w:r>
        <w:t xml:space="preserve">aterials </w:t>
      </w:r>
      <w:r w:rsidR="00B80DB5">
        <w:t>R</w:t>
      </w:r>
      <w:r>
        <w:t>atio (</w:t>
      </w:r>
      <w:r>
        <w:rPr>
          <w:i/>
        </w:rPr>
        <w:t>w/cm</w:t>
      </w:r>
      <w:r>
        <w:t xml:space="preserve">) and </w:t>
      </w:r>
      <w:r w:rsidR="00B80DB5">
        <w:t>S</w:t>
      </w:r>
      <w:r>
        <w:t xml:space="preserve">trength </w:t>
      </w:r>
      <w:r w:rsidR="00B80DB5">
        <w:t>R</w:t>
      </w:r>
      <w:r>
        <w:t>elationship</w:t>
      </w:r>
    </w:p>
    <w:p w:rsidR="004774B9" w:rsidRDefault="004774B9" w:rsidP="005E11F5">
      <w:r>
        <w:t xml:space="preserve">As mentioned, strength is universally accepted as the most important </w:t>
      </w:r>
      <w:r w:rsidR="00B55EC9">
        <w:t>concrete</w:t>
      </w:r>
      <w:r>
        <w:t xml:space="preserve"> property </w:t>
      </w:r>
      <w:r w:rsidR="007D3590" w:rsidRPr="007D3590">
        <w:rPr>
          <w:color w:val="FF0000"/>
        </w:rPr>
        <w:t>although</w:t>
      </w:r>
      <w:r>
        <w:t xml:space="preserve"> other properties such as durability or permeability are recognized as being equally or even more important.  Considering normal weight, fully consolidated </w:t>
      </w:r>
      <w:r w:rsidR="00B55EC9">
        <w:t>concrete</w:t>
      </w:r>
      <w:r>
        <w:t xml:space="preserve">, strength and permeability are directly correlated with the </w:t>
      </w:r>
      <w:r>
        <w:rPr>
          <w:i/>
        </w:rPr>
        <w:t>w/cm</w:t>
      </w:r>
      <w:r>
        <w:t xml:space="preserve"> as previously described.  If the </w:t>
      </w:r>
      <w:r>
        <w:rPr>
          <w:i/>
        </w:rPr>
        <w:t>w/cm</w:t>
      </w:r>
      <w:r>
        <w:t xml:space="preserve"> is fixed, strength will vary depending on the characteristics of the aggregate, differences in the cementitious materials, air content, admixtures used, and the curing regime.</w:t>
      </w:r>
    </w:p>
    <w:p w:rsidR="004774B9" w:rsidRDefault="004774B9" w:rsidP="005E11F5"/>
    <w:p w:rsidR="004774B9" w:rsidRDefault="004774B9" w:rsidP="005E11F5">
      <w:r>
        <w:t>For specifications, it is normal to establish a strength criteria, such as the specified 28-day compressive strength (</w:t>
      </w:r>
      <w:r>
        <w:rPr>
          <w:i/>
        </w:rPr>
        <w:t>f’</w:t>
      </w:r>
      <w:r>
        <w:rPr>
          <w:i/>
          <w:vertAlign w:val="subscript"/>
        </w:rPr>
        <w:t>c</w:t>
      </w:r>
      <w:r>
        <w:t>).  According to ACI 318, this strength is expected to be equal to or exceeded by the average of any set of three consecutive strength tests.  In addition, no individual test, which is the average of two cylinders, can be more than 500 psi below the specified strength.  Individual SHA may establish different strength requirements including the use of flexural strength in</w:t>
      </w:r>
      <w:r w:rsidR="00B80DB5">
        <w:t xml:space="preserve"> lieu of compressive strength.</w:t>
      </w:r>
    </w:p>
    <w:p w:rsidR="004774B9" w:rsidRDefault="004774B9" w:rsidP="005E11F5"/>
    <w:p w:rsidR="004774B9" w:rsidRDefault="004774B9" w:rsidP="005E11F5">
      <w:r>
        <w:t xml:space="preserve">The required average strength (designated as </w:t>
      </w:r>
      <w:r>
        <w:rPr>
          <w:i/>
        </w:rPr>
        <w:t>f’</w:t>
      </w:r>
      <w:r>
        <w:rPr>
          <w:i/>
          <w:vertAlign w:val="subscript"/>
        </w:rPr>
        <w:t>cr</w:t>
      </w:r>
      <w:r>
        <w:t xml:space="preserve"> for the required 28-day compressive strength) of the as-produced </w:t>
      </w:r>
      <w:r w:rsidR="00B55EC9">
        <w:t>concrete</w:t>
      </w:r>
      <w:r>
        <w:t xml:space="preserve"> should equal the specified strength (</w:t>
      </w:r>
      <w:r>
        <w:rPr>
          <w:i/>
        </w:rPr>
        <w:t>f’</w:t>
      </w:r>
      <w:r>
        <w:rPr>
          <w:i/>
          <w:vertAlign w:val="subscript"/>
        </w:rPr>
        <w:t>c</w:t>
      </w:r>
      <w:r>
        <w:t>) with an additional allowance to account for normal and expected material variations.  This will be discussed in more detail under proportioning.</w:t>
      </w:r>
    </w:p>
    <w:p w:rsidR="004774B9" w:rsidRDefault="004774B9" w:rsidP="005E11F5"/>
    <w:p w:rsidR="004774B9" w:rsidRDefault="004774B9" w:rsidP="005E11F5">
      <w:r>
        <w:t xml:space="preserve">Requirements for strength are often dictated by structural design assumptions.  Durability consideration for strength also exist, as shown in </w:t>
      </w:r>
      <w:r w:rsidR="00F64A96">
        <w:t xml:space="preserve">Table </w:t>
      </w:r>
      <w:r w:rsidR="00A806A8">
        <w:t>3-19</w:t>
      </w:r>
      <w:r w:rsidR="00F64A96">
        <w:t xml:space="preserve"> </w:t>
      </w:r>
      <w:r>
        <w:t>(ACI318-08).</w:t>
      </w:r>
    </w:p>
    <w:p w:rsidR="00C11CBD" w:rsidRDefault="00C11CBD">
      <w:pPr>
        <w:rPr>
          <w:bCs/>
          <w:szCs w:val="18"/>
        </w:rPr>
      </w:pPr>
      <w:bookmarkStart w:id="194" w:name="_Toc295918126"/>
      <w:r>
        <w:br w:type="page"/>
      </w:r>
    </w:p>
    <w:p w:rsidR="00B80DB5" w:rsidRPr="00ED4C98" w:rsidRDefault="00B80DB5" w:rsidP="00B80DB5">
      <w:pPr>
        <w:pStyle w:val="Caption"/>
        <w:rPr>
          <w:spacing w:val="-2"/>
        </w:rPr>
      </w:pPr>
      <w:r>
        <w:t>Table</w:t>
      </w:r>
      <w:r w:rsidR="00C11CBD">
        <w:t xml:space="preserve"> </w:t>
      </w:r>
      <w:bookmarkStart w:id="195" w:name="t19"/>
      <w:r w:rsidR="00F64A96">
        <w:t>3-</w:t>
      </w:r>
      <w:bookmarkEnd w:id="195"/>
      <w:r w:rsidR="00CC4DEE">
        <w:t>1</w:t>
      </w:r>
      <w:r w:rsidR="0067340E">
        <w:t>9</w:t>
      </w:r>
      <w:r>
        <w:t xml:space="preserve">.  </w:t>
      </w:r>
      <w:r>
        <w:rPr>
          <w:spacing w:val="-2"/>
        </w:rPr>
        <w:t xml:space="preserve">Maximum </w:t>
      </w:r>
      <w:r w:rsidRPr="00ED4C98">
        <w:rPr>
          <w:i/>
          <w:spacing w:val="-2"/>
        </w:rPr>
        <w:t>w/cm</w:t>
      </w:r>
      <w:r>
        <w:rPr>
          <w:spacing w:val="-2"/>
        </w:rPr>
        <w:t xml:space="preserve"> and minimum design strengths for various exposure </w:t>
      </w:r>
      <w:r w:rsidR="006F6E9A">
        <w:rPr>
          <w:spacing w:val="-2"/>
        </w:rPr>
        <w:br/>
      </w:r>
      <w:r>
        <w:rPr>
          <w:spacing w:val="-2"/>
        </w:rPr>
        <w:t>conditions (</w:t>
      </w:r>
      <w:r w:rsidR="00936012">
        <w:t>Kostmatka and Wilson 2011</w:t>
      </w:r>
      <w:r>
        <w:rPr>
          <w:spacing w:val="-2"/>
        </w:rPr>
        <w:t>).</w:t>
      </w:r>
      <w:bookmarkEnd w:id="194"/>
    </w:p>
    <w:p w:rsidR="00B80DB5" w:rsidRDefault="00B80DB5" w:rsidP="00B80DB5">
      <w:pPr>
        <w:jc w:val="center"/>
        <w:rPr>
          <w:spacing w:val="-2"/>
        </w:rPr>
      </w:pPr>
      <w:r>
        <w:rPr>
          <w:noProof/>
          <w:spacing w:val="-2"/>
        </w:rPr>
        <w:drawing>
          <wp:inline distT="0" distB="0" distL="0" distR="0">
            <wp:extent cx="5943600" cy="2466975"/>
            <wp:effectExtent l="19050" t="0" r="0" b="0"/>
            <wp:docPr id="62" name="Picture 20" descr="Table 9-1 PCA0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9-1 PCA0001.bmp"/>
                    <pic:cNvPicPr/>
                  </pic:nvPicPr>
                  <pic:blipFill>
                    <a:blip r:embed="rId108" cstate="print"/>
                    <a:srcRect t="2632"/>
                    <a:stretch>
                      <a:fillRect/>
                    </a:stretch>
                  </pic:blipFill>
                  <pic:spPr>
                    <a:xfrm>
                      <a:off x="0" y="0"/>
                      <a:ext cx="5943600" cy="2466975"/>
                    </a:xfrm>
                    <a:prstGeom prst="rect">
                      <a:avLst/>
                    </a:prstGeom>
                  </pic:spPr>
                </pic:pic>
              </a:graphicData>
            </a:graphic>
          </wp:inline>
        </w:drawing>
      </w:r>
    </w:p>
    <w:p w:rsidR="00B80DB5" w:rsidRDefault="00B80DB5" w:rsidP="00B80DB5"/>
    <w:p w:rsidR="00B80DB5" w:rsidRDefault="00B80DB5" w:rsidP="00B80DB5"/>
    <w:p w:rsidR="004774B9" w:rsidRDefault="004774B9" w:rsidP="00B80DB5">
      <w:pPr>
        <w:pStyle w:val="Heading5"/>
      </w:pPr>
      <w:r>
        <w:t xml:space="preserve">Water to </w:t>
      </w:r>
      <w:r w:rsidR="00B80DB5">
        <w:t>C</w:t>
      </w:r>
      <w:r>
        <w:t xml:space="preserve">ementitious </w:t>
      </w:r>
      <w:r w:rsidR="00B80DB5">
        <w:t>R</w:t>
      </w:r>
      <w:r>
        <w:t xml:space="preserve">atio </w:t>
      </w:r>
      <w:r w:rsidR="00B80DB5">
        <w:t>C</w:t>
      </w:r>
      <w:r>
        <w:t>onsiderations</w:t>
      </w:r>
    </w:p>
    <w:p w:rsidR="004774B9" w:rsidRDefault="004774B9" w:rsidP="005E11F5">
      <w:r>
        <w:t xml:space="preserve">Regardless of how strength is specified, a relationship between strength and the </w:t>
      </w:r>
      <w:r>
        <w:rPr>
          <w:i/>
        </w:rPr>
        <w:t xml:space="preserve">w/cm </w:t>
      </w:r>
      <w:r>
        <w:t>for a given mixture must be established such as the one shown in</w:t>
      </w:r>
      <w:r w:rsidR="00B80DB5">
        <w:t xml:space="preserve"> </w:t>
      </w:r>
      <w:r w:rsidR="00F11FDC">
        <w:t>Figure 3-29.</w:t>
      </w:r>
      <w:r>
        <w:t xml:space="preserve">  Similarly, durability requirements are also linked to </w:t>
      </w:r>
      <w:r>
        <w:rPr>
          <w:i/>
        </w:rPr>
        <w:t>w/cm</w:t>
      </w:r>
      <w:r>
        <w:t xml:space="preserve"> as it has a profound impact on the permeability of </w:t>
      </w:r>
      <w:r w:rsidR="00B55EC9">
        <w:t>concrete</w:t>
      </w:r>
      <w:r>
        <w:t xml:space="preserve">.  This is shown in </w:t>
      </w:r>
      <w:r w:rsidR="004C5C42">
        <w:t>Table</w:t>
      </w:r>
      <w:r w:rsidR="00A806A8">
        <w:t xml:space="preserve"> 3-19</w:t>
      </w:r>
      <w:r w:rsidR="00F64A96">
        <w:t xml:space="preserve"> </w:t>
      </w:r>
      <w:r>
        <w:t>and</w:t>
      </w:r>
      <w:r w:rsidRPr="00B80DB5">
        <w:t xml:space="preserve"> </w:t>
      </w:r>
      <w:r w:rsidR="00A806A8">
        <w:t>3-20</w:t>
      </w:r>
      <w:r w:rsidR="00F64A96">
        <w:t xml:space="preserve"> </w:t>
      </w:r>
      <w:r>
        <w:t>(ACI 318-08).</w:t>
      </w:r>
    </w:p>
    <w:p w:rsidR="004774B9" w:rsidRDefault="004774B9" w:rsidP="005E11F5"/>
    <w:p w:rsidR="00B80DB5" w:rsidRDefault="00B80DB5" w:rsidP="00B80DB5">
      <w:pPr>
        <w:adjustRightInd w:val="0"/>
        <w:jc w:val="center"/>
        <w:rPr>
          <w:spacing w:val="-2"/>
        </w:rPr>
      </w:pPr>
      <w:r>
        <w:rPr>
          <w:noProof/>
          <w:spacing w:val="-2"/>
        </w:rPr>
        <w:drawing>
          <wp:inline distT="0" distB="0" distL="0" distR="0">
            <wp:extent cx="3931920" cy="3457757"/>
            <wp:effectExtent l="19050" t="0" r="0" b="0"/>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srcRect/>
                    <a:stretch>
                      <a:fillRect/>
                    </a:stretch>
                  </pic:blipFill>
                  <pic:spPr bwMode="auto">
                    <a:xfrm>
                      <a:off x="0" y="0"/>
                      <a:ext cx="3931920" cy="3457757"/>
                    </a:xfrm>
                    <a:prstGeom prst="rect">
                      <a:avLst/>
                    </a:prstGeom>
                    <a:noFill/>
                    <a:ln w="9525">
                      <a:noFill/>
                      <a:miter lim="800000"/>
                      <a:headEnd/>
                      <a:tailEnd/>
                    </a:ln>
                  </pic:spPr>
                </pic:pic>
              </a:graphicData>
            </a:graphic>
          </wp:inline>
        </w:drawing>
      </w:r>
    </w:p>
    <w:p w:rsidR="00B80DB5" w:rsidRPr="004B4E81" w:rsidRDefault="00B80DB5" w:rsidP="004B4E81">
      <w:pPr>
        <w:pStyle w:val="APTechFigureCaption"/>
        <w:rPr>
          <w:spacing w:val="-4"/>
        </w:rPr>
      </w:pPr>
      <w:bookmarkStart w:id="196" w:name="_Ref275008672"/>
      <w:bookmarkStart w:id="197" w:name="f34"/>
      <w:bookmarkStart w:id="198" w:name="_Toc295918058"/>
      <w:r w:rsidRPr="004B4E81">
        <w:rPr>
          <w:spacing w:val="-4"/>
        </w:rPr>
        <w:t>Figure</w:t>
      </w:r>
      <w:bookmarkEnd w:id="196"/>
      <w:r w:rsidR="007F5E35" w:rsidRPr="004B4E81">
        <w:rPr>
          <w:spacing w:val="-4"/>
        </w:rPr>
        <w:t xml:space="preserve"> </w:t>
      </w:r>
      <w:r w:rsidR="00F3038B">
        <w:t>3-</w:t>
      </w:r>
      <w:bookmarkEnd w:id="197"/>
      <w:r w:rsidR="00CC4DEE">
        <w:t>29</w:t>
      </w:r>
      <w:r w:rsidRPr="004B4E81">
        <w:rPr>
          <w:spacing w:val="-4"/>
        </w:rPr>
        <w:t xml:space="preserve">.  Example relationship between compressive strength and </w:t>
      </w:r>
      <w:r w:rsidRPr="004B4E81">
        <w:rPr>
          <w:i/>
          <w:spacing w:val="-4"/>
        </w:rPr>
        <w:t>w/cm</w:t>
      </w:r>
      <w:r w:rsidRPr="004B4E81">
        <w:rPr>
          <w:spacing w:val="-4"/>
        </w:rPr>
        <w:t xml:space="preserve"> for concrete using 0.75-in to 1.0-in nominal maximum size coarse aggregate (</w:t>
      </w:r>
      <w:r w:rsidR="00936012">
        <w:t>Kostmatka and Wilson 2011</w:t>
      </w:r>
      <w:r w:rsidRPr="004B4E81">
        <w:rPr>
          <w:spacing w:val="-4"/>
        </w:rPr>
        <w:t>).</w:t>
      </w:r>
      <w:bookmarkEnd w:id="198"/>
    </w:p>
    <w:p w:rsidR="00C11CBD" w:rsidRDefault="00C11CBD">
      <w:pPr>
        <w:rPr>
          <w:bCs/>
          <w:szCs w:val="18"/>
        </w:rPr>
      </w:pPr>
      <w:bookmarkStart w:id="199" w:name="_Toc295918127"/>
      <w:r>
        <w:br w:type="page"/>
      </w:r>
    </w:p>
    <w:p w:rsidR="00B80DB5" w:rsidRDefault="00B80DB5" w:rsidP="00B80DB5">
      <w:pPr>
        <w:pStyle w:val="Caption"/>
        <w:rPr>
          <w:spacing w:val="-2"/>
        </w:rPr>
      </w:pPr>
      <w:r>
        <w:t>Table</w:t>
      </w:r>
      <w:r w:rsidR="00C11CBD">
        <w:t xml:space="preserve"> </w:t>
      </w:r>
      <w:bookmarkStart w:id="200" w:name="t20"/>
      <w:r w:rsidR="00F64A96">
        <w:t>3-</w:t>
      </w:r>
      <w:bookmarkEnd w:id="200"/>
      <w:r w:rsidR="008A38BC">
        <w:t>20</w:t>
      </w:r>
      <w:r>
        <w:t xml:space="preserve">.  </w:t>
      </w:r>
      <w:r>
        <w:rPr>
          <w:spacing w:val="-2"/>
        </w:rPr>
        <w:t xml:space="preserve">Types of cement and minimum </w:t>
      </w:r>
      <w:r w:rsidRPr="00ED4C98">
        <w:rPr>
          <w:i/>
          <w:spacing w:val="-2"/>
        </w:rPr>
        <w:t>w/cm</w:t>
      </w:r>
      <w:r>
        <w:rPr>
          <w:spacing w:val="-2"/>
        </w:rPr>
        <w:t xml:space="preserve"> requirements for concrete exposed to sulfates</w:t>
      </w:r>
      <w:r w:rsidR="006F6E9A">
        <w:rPr>
          <w:spacing w:val="-2"/>
        </w:rPr>
        <w:br/>
      </w:r>
      <w:r>
        <w:rPr>
          <w:spacing w:val="-2"/>
        </w:rPr>
        <w:t>in soil and water (</w:t>
      </w:r>
      <w:hyperlink r:id="rId110" w:history="1">
        <w:r w:rsidR="00012B49" w:rsidRPr="00012B49">
          <w:rPr>
            <w:rStyle w:val="Hyperlink"/>
            <w:spacing w:val="-2"/>
          </w:rPr>
          <w:t>Kosmatka and Wilson 2011</w:t>
        </w:r>
      </w:hyperlink>
      <w:r>
        <w:rPr>
          <w:spacing w:val="-2"/>
        </w:rPr>
        <w:t>).</w:t>
      </w:r>
      <w:bookmarkEnd w:id="199"/>
    </w:p>
    <w:tbl>
      <w:tblPr>
        <w:tblStyle w:val="TableGrid"/>
        <w:tblW w:w="9699" w:type="dxa"/>
        <w:jc w:val="center"/>
        <w:tblLook w:val="04A0" w:firstRow="1" w:lastRow="0" w:firstColumn="1" w:lastColumn="0" w:noHBand="0" w:noVBand="1"/>
      </w:tblPr>
      <w:tblGrid>
        <w:gridCol w:w="468"/>
        <w:gridCol w:w="1018"/>
        <w:gridCol w:w="1610"/>
        <w:gridCol w:w="1813"/>
        <w:gridCol w:w="1185"/>
        <w:gridCol w:w="1688"/>
        <w:gridCol w:w="706"/>
        <w:gridCol w:w="1211"/>
      </w:tblGrid>
      <w:tr w:rsidR="00710079" w:rsidRPr="00710079" w:rsidTr="00710079">
        <w:trPr>
          <w:jc w:val="center"/>
        </w:trPr>
        <w:tc>
          <w:tcPr>
            <w:tcW w:w="1486" w:type="dxa"/>
            <w:gridSpan w:val="2"/>
            <w:vMerge w:val="restart"/>
            <w:vAlign w:val="center"/>
          </w:tcPr>
          <w:p w:rsidR="007023CA" w:rsidRPr="00710079" w:rsidRDefault="007023CA" w:rsidP="00710079">
            <w:pPr>
              <w:jc w:val="center"/>
              <w:rPr>
                <w:b/>
                <w:sz w:val="18"/>
                <w:szCs w:val="18"/>
              </w:rPr>
            </w:pPr>
            <w:r w:rsidRPr="00710079">
              <w:rPr>
                <w:b/>
                <w:sz w:val="18"/>
                <w:szCs w:val="18"/>
              </w:rPr>
              <w:t>Exposure</w:t>
            </w:r>
            <w:r w:rsidR="00710079" w:rsidRPr="00710079">
              <w:rPr>
                <w:b/>
                <w:sz w:val="18"/>
                <w:szCs w:val="18"/>
              </w:rPr>
              <w:br/>
            </w:r>
            <w:r w:rsidRPr="00710079">
              <w:rPr>
                <w:b/>
                <w:sz w:val="18"/>
                <w:szCs w:val="18"/>
              </w:rPr>
              <w:t>Class</w:t>
            </w:r>
          </w:p>
        </w:tc>
        <w:tc>
          <w:tcPr>
            <w:tcW w:w="3423" w:type="dxa"/>
            <w:gridSpan w:val="2"/>
            <w:vAlign w:val="center"/>
          </w:tcPr>
          <w:p w:rsidR="007023CA" w:rsidRPr="00710079" w:rsidRDefault="007023CA" w:rsidP="007023CA">
            <w:pPr>
              <w:jc w:val="center"/>
              <w:rPr>
                <w:b/>
                <w:sz w:val="18"/>
                <w:szCs w:val="18"/>
              </w:rPr>
            </w:pPr>
            <w:r w:rsidRPr="00710079">
              <w:rPr>
                <w:b/>
                <w:sz w:val="18"/>
                <w:szCs w:val="18"/>
              </w:rPr>
              <w:t>Sulfate Exposure</w:t>
            </w:r>
            <w:r w:rsidRPr="00710079">
              <w:rPr>
                <w:b/>
                <w:sz w:val="18"/>
                <w:szCs w:val="18"/>
                <w:vertAlign w:val="superscript"/>
              </w:rPr>
              <w:t>1</w:t>
            </w:r>
          </w:p>
        </w:tc>
        <w:tc>
          <w:tcPr>
            <w:tcW w:w="3579" w:type="dxa"/>
            <w:gridSpan w:val="3"/>
            <w:vAlign w:val="center"/>
          </w:tcPr>
          <w:p w:rsidR="007023CA" w:rsidRPr="00710079" w:rsidRDefault="007023CA" w:rsidP="007023CA">
            <w:pPr>
              <w:jc w:val="center"/>
              <w:rPr>
                <w:b/>
                <w:sz w:val="18"/>
                <w:szCs w:val="18"/>
              </w:rPr>
            </w:pPr>
            <w:r w:rsidRPr="00710079">
              <w:rPr>
                <w:b/>
                <w:sz w:val="18"/>
                <w:szCs w:val="18"/>
              </w:rPr>
              <w:t>Cementitious Materials Requirements</w:t>
            </w:r>
            <w:r w:rsidRPr="00710079">
              <w:rPr>
                <w:b/>
                <w:sz w:val="18"/>
                <w:szCs w:val="18"/>
                <w:vertAlign w:val="superscript"/>
              </w:rPr>
              <w:t>2</w:t>
            </w:r>
            <w:r w:rsidR="000079CD" w:rsidRPr="00710079">
              <w:rPr>
                <w:b/>
                <w:sz w:val="18"/>
                <w:szCs w:val="18"/>
                <w:vertAlign w:val="superscript"/>
              </w:rPr>
              <w:t>,</w:t>
            </w:r>
            <w:r w:rsidR="000079CD" w:rsidRPr="00710079">
              <w:rPr>
                <w:sz w:val="18"/>
                <w:szCs w:val="18"/>
                <w:vertAlign w:val="superscript"/>
              </w:rPr>
              <w:t xml:space="preserve"> 3</w:t>
            </w:r>
          </w:p>
        </w:tc>
        <w:tc>
          <w:tcPr>
            <w:tcW w:w="1211" w:type="dxa"/>
            <w:vAlign w:val="center"/>
          </w:tcPr>
          <w:p w:rsidR="007023CA" w:rsidRPr="00710079" w:rsidRDefault="007023CA" w:rsidP="00C021C8">
            <w:pPr>
              <w:jc w:val="center"/>
              <w:rPr>
                <w:b/>
                <w:sz w:val="18"/>
                <w:szCs w:val="18"/>
              </w:rPr>
            </w:pPr>
            <w:r w:rsidRPr="00710079">
              <w:rPr>
                <w:b/>
                <w:sz w:val="18"/>
                <w:szCs w:val="18"/>
              </w:rPr>
              <w:t>Maximum</w:t>
            </w:r>
            <w:r w:rsidR="00C021C8" w:rsidRPr="00710079">
              <w:rPr>
                <w:b/>
                <w:sz w:val="18"/>
                <w:szCs w:val="18"/>
              </w:rPr>
              <w:br/>
            </w:r>
            <w:r w:rsidRPr="00710079">
              <w:rPr>
                <w:b/>
                <w:sz w:val="18"/>
                <w:szCs w:val="18"/>
              </w:rPr>
              <w:t>w/cm</w:t>
            </w:r>
          </w:p>
        </w:tc>
      </w:tr>
      <w:tr w:rsidR="00710079" w:rsidRPr="00710079" w:rsidTr="00710079">
        <w:trPr>
          <w:jc w:val="center"/>
        </w:trPr>
        <w:tc>
          <w:tcPr>
            <w:tcW w:w="1486" w:type="dxa"/>
            <w:gridSpan w:val="2"/>
            <w:vMerge/>
            <w:vAlign w:val="center"/>
          </w:tcPr>
          <w:p w:rsidR="007023CA" w:rsidRPr="00710079" w:rsidRDefault="007023CA" w:rsidP="007023CA">
            <w:pPr>
              <w:jc w:val="center"/>
              <w:rPr>
                <w:b/>
                <w:sz w:val="18"/>
                <w:szCs w:val="18"/>
              </w:rPr>
            </w:pPr>
          </w:p>
        </w:tc>
        <w:tc>
          <w:tcPr>
            <w:tcW w:w="1610" w:type="dxa"/>
            <w:vAlign w:val="center"/>
          </w:tcPr>
          <w:p w:rsidR="007023CA" w:rsidRPr="00710079" w:rsidRDefault="007023CA" w:rsidP="00C021C8">
            <w:pPr>
              <w:jc w:val="center"/>
              <w:rPr>
                <w:b/>
                <w:sz w:val="18"/>
                <w:szCs w:val="18"/>
              </w:rPr>
            </w:pPr>
            <w:r w:rsidRPr="00710079">
              <w:rPr>
                <w:b/>
                <w:sz w:val="18"/>
                <w:szCs w:val="18"/>
              </w:rPr>
              <w:t>Water-soluble</w:t>
            </w:r>
            <w:r w:rsidR="00C021C8" w:rsidRPr="00710079">
              <w:rPr>
                <w:b/>
                <w:sz w:val="18"/>
                <w:szCs w:val="18"/>
              </w:rPr>
              <w:br/>
            </w:r>
            <w:r w:rsidRPr="00710079">
              <w:rPr>
                <w:b/>
                <w:sz w:val="18"/>
                <w:szCs w:val="18"/>
              </w:rPr>
              <w:t>sulfate in soil,</w:t>
            </w:r>
            <w:r w:rsidR="00C021C8" w:rsidRPr="00710079">
              <w:rPr>
                <w:b/>
                <w:sz w:val="18"/>
                <w:szCs w:val="18"/>
              </w:rPr>
              <w:br/>
            </w:r>
            <w:r w:rsidRPr="00710079">
              <w:rPr>
                <w:b/>
                <w:sz w:val="18"/>
                <w:szCs w:val="18"/>
              </w:rPr>
              <w:t>% by mass</w:t>
            </w:r>
          </w:p>
        </w:tc>
        <w:tc>
          <w:tcPr>
            <w:tcW w:w="1813" w:type="dxa"/>
            <w:vAlign w:val="center"/>
          </w:tcPr>
          <w:p w:rsidR="007023CA" w:rsidRPr="00710079" w:rsidRDefault="007023CA" w:rsidP="00710079">
            <w:pPr>
              <w:jc w:val="center"/>
              <w:rPr>
                <w:b/>
                <w:sz w:val="18"/>
                <w:szCs w:val="18"/>
              </w:rPr>
            </w:pPr>
            <w:r w:rsidRPr="00710079">
              <w:rPr>
                <w:b/>
                <w:sz w:val="18"/>
                <w:szCs w:val="18"/>
              </w:rPr>
              <w:t>Dissolved</w:t>
            </w:r>
            <w:r w:rsidR="00710079" w:rsidRPr="00710079">
              <w:rPr>
                <w:b/>
                <w:sz w:val="18"/>
                <w:szCs w:val="18"/>
              </w:rPr>
              <w:br/>
            </w:r>
            <w:r w:rsidRPr="00710079">
              <w:rPr>
                <w:b/>
                <w:sz w:val="18"/>
                <w:szCs w:val="18"/>
              </w:rPr>
              <w:t>sulfate</w:t>
            </w:r>
            <w:r w:rsidR="00710079" w:rsidRPr="00710079">
              <w:rPr>
                <w:b/>
                <w:sz w:val="18"/>
                <w:szCs w:val="18"/>
              </w:rPr>
              <w:t xml:space="preserve"> </w:t>
            </w:r>
            <w:r w:rsidRPr="00710079">
              <w:rPr>
                <w:b/>
                <w:sz w:val="18"/>
                <w:szCs w:val="18"/>
              </w:rPr>
              <w:t>in</w:t>
            </w:r>
            <w:r w:rsidR="00710079" w:rsidRPr="00710079">
              <w:rPr>
                <w:b/>
                <w:sz w:val="18"/>
                <w:szCs w:val="18"/>
              </w:rPr>
              <w:br/>
            </w:r>
            <w:r w:rsidRPr="00710079">
              <w:rPr>
                <w:b/>
                <w:sz w:val="18"/>
                <w:szCs w:val="18"/>
              </w:rPr>
              <w:t>water, ppm</w:t>
            </w:r>
          </w:p>
        </w:tc>
        <w:tc>
          <w:tcPr>
            <w:tcW w:w="1185" w:type="dxa"/>
            <w:vAlign w:val="center"/>
          </w:tcPr>
          <w:p w:rsidR="007023CA" w:rsidRPr="00710079" w:rsidRDefault="007023CA" w:rsidP="007023CA">
            <w:pPr>
              <w:jc w:val="center"/>
              <w:rPr>
                <w:b/>
                <w:sz w:val="18"/>
                <w:szCs w:val="18"/>
              </w:rPr>
            </w:pPr>
            <w:r w:rsidRPr="00710079">
              <w:rPr>
                <w:b/>
                <w:sz w:val="18"/>
                <w:szCs w:val="18"/>
              </w:rPr>
              <w:t>C150</w:t>
            </w:r>
          </w:p>
        </w:tc>
        <w:tc>
          <w:tcPr>
            <w:tcW w:w="1688" w:type="dxa"/>
            <w:vAlign w:val="center"/>
          </w:tcPr>
          <w:p w:rsidR="007023CA" w:rsidRPr="00710079" w:rsidRDefault="007023CA" w:rsidP="007023CA">
            <w:pPr>
              <w:jc w:val="center"/>
              <w:rPr>
                <w:b/>
                <w:sz w:val="18"/>
                <w:szCs w:val="18"/>
              </w:rPr>
            </w:pPr>
            <w:r w:rsidRPr="00710079">
              <w:rPr>
                <w:b/>
                <w:sz w:val="18"/>
                <w:szCs w:val="18"/>
              </w:rPr>
              <w:t>C595</w:t>
            </w:r>
          </w:p>
        </w:tc>
        <w:tc>
          <w:tcPr>
            <w:tcW w:w="706" w:type="dxa"/>
            <w:vAlign w:val="center"/>
          </w:tcPr>
          <w:p w:rsidR="007023CA" w:rsidRPr="00710079" w:rsidRDefault="007023CA" w:rsidP="007023CA">
            <w:pPr>
              <w:jc w:val="center"/>
              <w:rPr>
                <w:b/>
                <w:sz w:val="18"/>
                <w:szCs w:val="18"/>
              </w:rPr>
            </w:pPr>
            <w:r w:rsidRPr="00710079">
              <w:rPr>
                <w:b/>
                <w:sz w:val="18"/>
                <w:szCs w:val="18"/>
              </w:rPr>
              <w:t>C1157</w:t>
            </w:r>
          </w:p>
        </w:tc>
        <w:tc>
          <w:tcPr>
            <w:tcW w:w="1211" w:type="dxa"/>
            <w:vAlign w:val="center"/>
          </w:tcPr>
          <w:p w:rsidR="007023CA" w:rsidRPr="00710079" w:rsidRDefault="007023CA" w:rsidP="007023CA">
            <w:pPr>
              <w:jc w:val="center"/>
              <w:rPr>
                <w:b/>
                <w:sz w:val="18"/>
                <w:szCs w:val="18"/>
              </w:rPr>
            </w:pPr>
          </w:p>
        </w:tc>
      </w:tr>
      <w:tr w:rsidR="00710079" w:rsidRPr="00710079" w:rsidTr="00710079">
        <w:trPr>
          <w:jc w:val="center"/>
        </w:trPr>
        <w:tc>
          <w:tcPr>
            <w:tcW w:w="468" w:type="dxa"/>
            <w:vAlign w:val="center"/>
          </w:tcPr>
          <w:p w:rsidR="007023CA" w:rsidRPr="00710079" w:rsidRDefault="007023CA" w:rsidP="00710079">
            <w:pPr>
              <w:jc w:val="center"/>
              <w:rPr>
                <w:sz w:val="18"/>
                <w:szCs w:val="18"/>
              </w:rPr>
            </w:pPr>
            <w:r w:rsidRPr="00710079">
              <w:rPr>
                <w:sz w:val="18"/>
                <w:szCs w:val="18"/>
              </w:rPr>
              <w:t>SO</w:t>
            </w:r>
          </w:p>
        </w:tc>
        <w:tc>
          <w:tcPr>
            <w:tcW w:w="1018" w:type="dxa"/>
            <w:vAlign w:val="center"/>
          </w:tcPr>
          <w:p w:rsidR="007023CA" w:rsidRPr="00710079" w:rsidRDefault="007023CA" w:rsidP="00710079">
            <w:pPr>
              <w:jc w:val="center"/>
              <w:rPr>
                <w:sz w:val="18"/>
                <w:szCs w:val="18"/>
              </w:rPr>
            </w:pPr>
            <w:r w:rsidRPr="00710079">
              <w:rPr>
                <w:sz w:val="18"/>
                <w:szCs w:val="18"/>
              </w:rPr>
              <w:t>Negligible</w:t>
            </w:r>
          </w:p>
        </w:tc>
        <w:tc>
          <w:tcPr>
            <w:tcW w:w="1610" w:type="dxa"/>
            <w:vAlign w:val="center"/>
          </w:tcPr>
          <w:p w:rsidR="007023CA" w:rsidRPr="00710079" w:rsidRDefault="007023CA" w:rsidP="00710079">
            <w:pPr>
              <w:jc w:val="center"/>
              <w:rPr>
                <w:sz w:val="18"/>
                <w:szCs w:val="18"/>
              </w:rPr>
            </w:pPr>
            <w:r w:rsidRPr="00710079">
              <w:rPr>
                <w:sz w:val="18"/>
                <w:szCs w:val="18"/>
              </w:rPr>
              <w:t>SO</w:t>
            </w:r>
            <w:r w:rsidRPr="00710079">
              <w:rPr>
                <w:sz w:val="18"/>
                <w:szCs w:val="18"/>
                <w:vertAlign w:val="subscript"/>
              </w:rPr>
              <w:t>4</w:t>
            </w:r>
            <w:r w:rsidR="00710079">
              <w:rPr>
                <w:sz w:val="18"/>
                <w:szCs w:val="18"/>
              </w:rPr>
              <w:t xml:space="preserve"> &lt; </w:t>
            </w:r>
            <w:r w:rsidRPr="00710079">
              <w:rPr>
                <w:sz w:val="18"/>
                <w:szCs w:val="18"/>
              </w:rPr>
              <w:t>0.10</w:t>
            </w:r>
          </w:p>
        </w:tc>
        <w:tc>
          <w:tcPr>
            <w:tcW w:w="1813" w:type="dxa"/>
            <w:vAlign w:val="center"/>
          </w:tcPr>
          <w:p w:rsidR="007023CA" w:rsidRPr="00710079" w:rsidRDefault="007023CA" w:rsidP="00710079">
            <w:pPr>
              <w:jc w:val="center"/>
              <w:rPr>
                <w:sz w:val="18"/>
                <w:szCs w:val="18"/>
              </w:rPr>
            </w:pPr>
            <w:r w:rsidRPr="00710079">
              <w:rPr>
                <w:sz w:val="18"/>
                <w:szCs w:val="18"/>
              </w:rPr>
              <w:t>SO</w:t>
            </w:r>
            <w:r w:rsidRPr="00710079">
              <w:rPr>
                <w:sz w:val="18"/>
                <w:szCs w:val="18"/>
                <w:vertAlign w:val="subscript"/>
              </w:rPr>
              <w:t>4</w:t>
            </w:r>
            <w:r w:rsidRPr="00710079">
              <w:rPr>
                <w:sz w:val="18"/>
                <w:szCs w:val="18"/>
              </w:rPr>
              <w:t xml:space="preserve"> &lt; 150</w:t>
            </w:r>
          </w:p>
        </w:tc>
        <w:tc>
          <w:tcPr>
            <w:tcW w:w="1185" w:type="dxa"/>
            <w:vAlign w:val="center"/>
          </w:tcPr>
          <w:p w:rsidR="007023CA" w:rsidRPr="00710079" w:rsidRDefault="007023CA" w:rsidP="00710079">
            <w:pPr>
              <w:jc w:val="center"/>
              <w:rPr>
                <w:sz w:val="18"/>
                <w:szCs w:val="18"/>
              </w:rPr>
            </w:pPr>
            <w:r w:rsidRPr="00710079">
              <w:rPr>
                <w:sz w:val="18"/>
                <w:szCs w:val="18"/>
              </w:rPr>
              <w:t>NSR</w:t>
            </w:r>
          </w:p>
        </w:tc>
        <w:tc>
          <w:tcPr>
            <w:tcW w:w="1688" w:type="dxa"/>
            <w:vAlign w:val="center"/>
          </w:tcPr>
          <w:p w:rsidR="007023CA" w:rsidRPr="00710079" w:rsidRDefault="007023CA" w:rsidP="00710079">
            <w:pPr>
              <w:jc w:val="center"/>
              <w:rPr>
                <w:sz w:val="18"/>
                <w:szCs w:val="18"/>
              </w:rPr>
            </w:pPr>
            <w:r w:rsidRPr="00710079">
              <w:rPr>
                <w:sz w:val="18"/>
                <w:szCs w:val="18"/>
              </w:rPr>
              <w:t>NSR</w:t>
            </w:r>
          </w:p>
        </w:tc>
        <w:tc>
          <w:tcPr>
            <w:tcW w:w="706" w:type="dxa"/>
            <w:vAlign w:val="center"/>
          </w:tcPr>
          <w:p w:rsidR="007023CA" w:rsidRPr="00710079" w:rsidRDefault="007023CA" w:rsidP="00710079">
            <w:pPr>
              <w:jc w:val="center"/>
              <w:rPr>
                <w:sz w:val="18"/>
                <w:szCs w:val="18"/>
              </w:rPr>
            </w:pPr>
            <w:r w:rsidRPr="00710079">
              <w:rPr>
                <w:sz w:val="18"/>
                <w:szCs w:val="18"/>
              </w:rPr>
              <w:t>NSR</w:t>
            </w:r>
          </w:p>
        </w:tc>
        <w:tc>
          <w:tcPr>
            <w:tcW w:w="1211" w:type="dxa"/>
            <w:vAlign w:val="center"/>
          </w:tcPr>
          <w:p w:rsidR="007023CA" w:rsidRPr="00710079" w:rsidRDefault="007023CA" w:rsidP="00710079">
            <w:pPr>
              <w:jc w:val="center"/>
              <w:rPr>
                <w:sz w:val="18"/>
                <w:szCs w:val="18"/>
              </w:rPr>
            </w:pPr>
            <w:r w:rsidRPr="00710079">
              <w:rPr>
                <w:sz w:val="18"/>
                <w:szCs w:val="18"/>
              </w:rPr>
              <w:t>None</w:t>
            </w:r>
          </w:p>
        </w:tc>
      </w:tr>
      <w:tr w:rsidR="00710079" w:rsidRPr="00710079" w:rsidTr="00710079">
        <w:trPr>
          <w:jc w:val="center"/>
        </w:trPr>
        <w:tc>
          <w:tcPr>
            <w:tcW w:w="468" w:type="dxa"/>
            <w:vAlign w:val="center"/>
          </w:tcPr>
          <w:p w:rsidR="007023CA" w:rsidRPr="00710079" w:rsidRDefault="007023CA" w:rsidP="00710079">
            <w:pPr>
              <w:jc w:val="center"/>
              <w:rPr>
                <w:sz w:val="18"/>
                <w:szCs w:val="18"/>
              </w:rPr>
            </w:pPr>
            <w:r w:rsidRPr="00710079">
              <w:rPr>
                <w:sz w:val="18"/>
                <w:szCs w:val="18"/>
              </w:rPr>
              <w:t>S1</w:t>
            </w:r>
          </w:p>
        </w:tc>
        <w:tc>
          <w:tcPr>
            <w:tcW w:w="1018" w:type="dxa"/>
            <w:vAlign w:val="center"/>
          </w:tcPr>
          <w:p w:rsidR="007023CA" w:rsidRPr="00710079" w:rsidRDefault="007023CA" w:rsidP="00710079">
            <w:pPr>
              <w:jc w:val="center"/>
              <w:rPr>
                <w:sz w:val="18"/>
                <w:szCs w:val="18"/>
              </w:rPr>
            </w:pPr>
            <w:r w:rsidRPr="00710079">
              <w:rPr>
                <w:sz w:val="18"/>
                <w:szCs w:val="18"/>
              </w:rPr>
              <w:t>Moderate</w:t>
            </w:r>
            <w:r w:rsidR="000079CD" w:rsidRPr="00710079">
              <w:rPr>
                <w:sz w:val="18"/>
                <w:szCs w:val="18"/>
                <w:vertAlign w:val="superscript"/>
              </w:rPr>
              <w:t>4</w:t>
            </w:r>
          </w:p>
        </w:tc>
        <w:tc>
          <w:tcPr>
            <w:tcW w:w="1610" w:type="dxa"/>
            <w:vAlign w:val="center"/>
          </w:tcPr>
          <w:p w:rsidR="007023CA" w:rsidRPr="00710079" w:rsidRDefault="007023CA" w:rsidP="00710079">
            <w:pPr>
              <w:jc w:val="center"/>
              <w:rPr>
                <w:sz w:val="18"/>
                <w:szCs w:val="18"/>
              </w:rPr>
            </w:pPr>
            <w:r w:rsidRPr="00710079">
              <w:rPr>
                <w:sz w:val="18"/>
                <w:szCs w:val="18"/>
              </w:rPr>
              <w:t>0.10 &lt;SO</w:t>
            </w:r>
            <w:r w:rsidRPr="00710079">
              <w:rPr>
                <w:sz w:val="18"/>
                <w:szCs w:val="18"/>
                <w:vertAlign w:val="subscript"/>
              </w:rPr>
              <w:t>4</w:t>
            </w:r>
            <w:r w:rsidRPr="00710079">
              <w:rPr>
                <w:sz w:val="18"/>
                <w:szCs w:val="18"/>
              </w:rPr>
              <w:t xml:space="preserve"> &lt; 0.20</w:t>
            </w:r>
          </w:p>
        </w:tc>
        <w:tc>
          <w:tcPr>
            <w:tcW w:w="1813" w:type="dxa"/>
            <w:vAlign w:val="center"/>
          </w:tcPr>
          <w:p w:rsidR="007023CA" w:rsidRPr="00710079" w:rsidRDefault="00C021C8" w:rsidP="00710079">
            <w:pPr>
              <w:jc w:val="center"/>
              <w:rPr>
                <w:sz w:val="18"/>
                <w:szCs w:val="18"/>
              </w:rPr>
            </w:pPr>
            <w:r w:rsidRPr="00710079">
              <w:rPr>
                <w:sz w:val="18"/>
                <w:szCs w:val="18"/>
              </w:rPr>
              <w:t>150 &lt; SO</w:t>
            </w:r>
            <w:r w:rsidRPr="00710079">
              <w:rPr>
                <w:sz w:val="18"/>
                <w:szCs w:val="18"/>
                <w:vertAlign w:val="subscript"/>
              </w:rPr>
              <w:t>4</w:t>
            </w:r>
            <w:r w:rsidRPr="00710079">
              <w:rPr>
                <w:sz w:val="18"/>
                <w:szCs w:val="18"/>
              </w:rPr>
              <w:t xml:space="preserve"> &lt; 1500</w:t>
            </w:r>
          </w:p>
        </w:tc>
        <w:tc>
          <w:tcPr>
            <w:tcW w:w="1185" w:type="dxa"/>
            <w:vAlign w:val="center"/>
          </w:tcPr>
          <w:p w:rsidR="007023CA" w:rsidRPr="00710079" w:rsidRDefault="00C021C8" w:rsidP="007D3590">
            <w:pPr>
              <w:jc w:val="center"/>
              <w:rPr>
                <w:sz w:val="18"/>
                <w:szCs w:val="18"/>
              </w:rPr>
            </w:pPr>
            <w:r w:rsidRPr="00710079">
              <w:rPr>
                <w:sz w:val="18"/>
                <w:szCs w:val="18"/>
              </w:rPr>
              <w:t>II or II(M</w:t>
            </w:r>
            <w:r w:rsidR="007D3590">
              <w:rPr>
                <w:sz w:val="18"/>
                <w:szCs w:val="18"/>
              </w:rPr>
              <w:t>S</w:t>
            </w:r>
            <w:r w:rsidRPr="00710079">
              <w:rPr>
                <w:sz w:val="18"/>
                <w:szCs w:val="18"/>
              </w:rPr>
              <w:t>)</w:t>
            </w:r>
          </w:p>
        </w:tc>
        <w:tc>
          <w:tcPr>
            <w:tcW w:w="1688" w:type="dxa"/>
            <w:vAlign w:val="center"/>
          </w:tcPr>
          <w:p w:rsidR="007023CA" w:rsidRPr="00710079" w:rsidRDefault="00C021C8" w:rsidP="00710079">
            <w:pPr>
              <w:jc w:val="center"/>
              <w:rPr>
                <w:sz w:val="18"/>
                <w:szCs w:val="18"/>
              </w:rPr>
            </w:pPr>
            <w:r w:rsidRPr="00710079">
              <w:rPr>
                <w:sz w:val="18"/>
                <w:szCs w:val="18"/>
              </w:rPr>
              <w:t>IP(MS)</w:t>
            </w:r>
          </w:p>
          <w:p w:rsidR="00C021C8" w:rsidRPr="00710079" w:rsidRDefault="00C021C8" w:rsidP="00710079">
            <w:pPr>
              <w:jc w:val="center"/>
              <w:rPr>
                <w:sz w:val="18"/>
                <w:szCs w:val="18"/>
              </w:rPr>
            </w:pPr>
            <w:r w:rsidRPr="00710079">
              <w:rPr>
                <w:sz w:val="18"/>
                <w:szCs w:val="18"/>
              </w:rPr>
              <w:t>IS(&lt; 70)(MS)</w:t>
            </w:r>
          </w:p>
          <w:p w:rsidR="00C021C8" w:rsidRPr="00710079" w:rsidRDefault="00C021C8" w:rsidP="00710079">
            <w:pPr>
              <w:jc w:val="center"/>
              <w:rPr>
                <w:sz w:val="18"/>
                <w:szCs w:val="18"/>
              </w:rPr>
            </w:pPr>
            <w:r w:rsidRPr="00710079">
              <w:rPr>
                <w:sz w:val="18"/>
                <w:szCs w:val="18"/>
              </w:rPr>
              <w:t xml:space="preserve">IT(P </w:t>
            </w:r>
            <w:r w:rsidRPr="00710079">
              <w:rPr>
                <w:sz w:val="18"/>
                <w:szCs w:val="18"/>
              </w:rPr>
              <w:sym w:font="Symbol" w:char="F0B3"/>
            </w:r>
            <w:r w:rsidRPr="00710079">
              <w:rPr>
                <w:sz w:val="18"/>
                <w:szCs w:val="18"/>
              </w:rPr>
              <w:t xml:space="preserve"> S)(MS)</w:t>
            </w:r>
          </w:p>
          <w:p w:rsidR="00C021C8" w:rsidRPr="00710079" w:rsidRDefault="00C021C8" w:rsidP="00710079">
            <w:pPr>
              <w:jc w:val="center"/>
              <w:rPr>
                <w:sz w:val="18"/>
                <w:szCs w:val="18"/>
              </w:rPr>
            </w:pPr>
            <w:r w:rsidRPr="00710079">
              <w:rPr>
                <w:sz w:val="18"/>
                <w:szCs w:val="18"/>
              </w:rPr>
              <w:t>IT(P &lt; S &lt; 70)MS</w:t>
            </w:r>
          </w:p>
        </w:tc>
        <w:tc>
          <w:tcPr>
            <w:tcW w:w="706" w:type="dxa"/>
            <w:vAlign w:val="center"/>
          </w:tcPr>
          <w:p w:rsidR="007023CA" w:rsidRPr="00710079" w:rsidRDefault="00C021C8" w:rsidP="00710079">
            <w:pPr>
              <w:jc w:val="center"/>
              <w:rPr>
                <w:sz w:val="18"/>
                <w:szCs w:val="18"/>
              </w:rPr>
            </w:pPr>
            <w:r w:rsidRPr="00710079">
              <w:rPr>
                <w:sz w:val="18"/>
                <w:szCs w:val="18"/>
              </w:rPr>
              <w:t>MS</w:t>
            </w:r>
          </w:p>
        </w:tc>
        <w:tc>
          <w:tcPr>
            <w:tcW w:w="1211" w:type="dxa"/>
            <w:vAlign w:val="center"/>
          </w:tcPr>
          <w:p w:rsidR="007023CA" w:rsidRPr="00710079" w:rsidRDefault="00C021C8" w:rsidP="00710079">
            <w:pPr>
              <w:jc w:val="center"/>
              <w:rPr>
                <w:sz w:val="18"/>
                <w:szCs w:val="18"/>
              </w:rPr>
            </w:pPr>
            <w:r w:rsidRPr="00710079">
              <w:rPr>
                <w:sz w:val="18"/>
                <w:szCs w:val="18"/>
              </w:rPr>
              <w:t>0.50</w:t>
            </w:r>
          </w:p>
        </w:tc>
      </w:tr>
      <w:tr w:rsidR="00710079" w:rsidRPr="00710079" w:rsidTr="00710079">
        <w:trPr>
          <w:jc w:val="center"/>
        </w:trPr>
        <w:tc>
          <w:tcPr>
            <w:tcW w:w="468" w:type="dxa"/>
            <w:vAlign w:val="center"/>
          </w:tcPr>
          <w:p w:rsidR="007023CA" w:rsidRPr="00710079" w:rsidRDefault="00C021C8" w:rsidP="00710079">
            <w:pPr>
              <w:jc w:val="center"/>
              <w:rPr>
                <w:sz w:val="18"/>
                <w:szCs w:val="18"/>
              </w:rPr>
            </w:pPr>
            <w:r w:rsidRPr="00710079">
              <w:rPr>
                <w:sz w:val="18"/>
                <w:szCs w:val="18"/>
              </w:rPr>
              <w:t>S2</w:t>
            </w:r>
          </w:p>
        </w:tc>
        <w:tc>
          <w:tcPr>
            <w:tcW w:w="1018" w:type="dxa"/>
            <w:vAlign w:val="center"/>
          </w:tcPr>
          <w:p w:rsidR="007023CA" w:rsidRPr="00710079" w:rsidRDefault="00C021C8" w:rsidP="00710079">
            <w:pPr>
              <w:jc w:val="center"/>
              <w:rPr>
                <w:sz w:val="18"/>
                <w:szCs w:val="18"/>
              </w:rPr>
            </w:pPr>
            <w:r w:rsidRPr="00710079">
              <w:rPr>
                <w:sz w:val="18"/>
                <w:szCs w:val="18"/>
              </w:rPr>
              <w:t>Severe</w:t>
            </w:r>
          </w:p>
        </w:tc>
        <w:tc>
          <w:tcPr>
            <w:tcW w:w="1610" w:type="dxa"/>
            <w:vAlign w:val="center"/>
          </w:tcPr>
          <w:p w:rsidR="007023CA" w:rsidRPr="00710079" w:rsidRDefault="00C021C8" w:rsidP="00710079">
            <w:pPr>
              <w:jc w:val="center"/>
              <w:rPr>
                <w:sz w:val="18"/>
                <w:szCs w:val="18"/>
              </w:rPr>
            </w:pPr>
            <w:r w:rsidRPr="00710079">
              <w:rPr>
                <w:sz w:val="18"/>
                <w:szCs w:val="18"/>
              </w:rPr>
              <w:t>0.20 &lt; SO</w:t>
            </w:r>
            <w:r w:rsidRPr="00710079">
              <w:rPr>
                <w:sz w:val="18"/>
                <w:szCs w:val="18"/>
                <w:vertAlign w:val="subscript"/>
              </w:rPr>
              <w:t>4</w:t>
            </w:r>
            <w:r w:rsidRPr="00710079">
              <w:rPr>
                <w:sz w:val="18"/>
                <w:szCs w:val="18"/>
              </w:rPr>
              <w:t xml:space="preserve"> &lt; 2.00</w:t>
            </w:r>
          </w:p>
        </w:tc>
        <w:tc>
          <w:tcPr>
            <w:tcW w:w="1813" w:type="dxa"/>
            <w:vAlign w:val="center"/>
          </w:tcPr>
          <w:p w:rsidR="007023CA" w:rsidRPr="00710079" w:rsidRDefault="00C021C8" w:rsidP="00710079">
            <w:pPr>
              <w:jc w:val="center"/>
              <w:rPr>
                <w:sz w:val="18"/>
                <w:szCs w:val="18"/>
              </w:rPr>
            </w:pPr>
            <w:r w:rsidRPr="00710079">
              <w:rPr>
                <w:sz w:val="18"/>
                <w:szCs w:val="18"/>
              </w:rPr>
              <w:t>1500 &lt; SO</w:t>
            </w:r>
            <w:r w:rsidRPr="00710079">
              <w:rPr>
                <w:sz w:val="18"/>
                <w:szCs w:val="18"/>
                <w:vertAlign w:val="subscript"/>
              </w:rPr>
              <w:t>4</w:t>
            </w:r>
            <w:r w:rsidR="00710079">
              <w:rPr>
                <w:sz w:val="18"/>
                <w:szCs w:val="18"/>
              </w:rPr>
              <w:t xml:space="preserve"> &lt; </w:t>
            </w:r>
            <w:r w:rsidRPr="00710079">
              <w:rPr>
                <w:sz w:val="18"/>
                <w:szCs w:val="18"/>
              </w:rPr>
              <w:t>10,000</w:t>
            </w:r>
          </w:p>
        </w:tc>
        <w:tc>
          <w:tcPr>
            <w:tcW w:w="1185" w:type="dxa"/>
            <w:vAlign w:val="center"/>
          </w:tcPr>
          <w:p w:rsidR="007023CA" w:rsidRPr="00710079" w:rsidRDefault="00C021C8" w:rsidP="00710079">
            <w:pPr>
              <w:jc w:val="center"/>
              <w:rPr>
                <w:sz w:val="18"/>
                <w:szCs w:val="18"/>
              </w:rPr>
            </w:pPr>
            <w:r w:rsidRPr="00710079">
              <w:rPr>
                <w:sz w:val="18"/>
                <w:szCs w:val="18"/>
              </w:rPr>
              <w:t>V</w:t>
            </w:r>
          </w:p>
        </w:tc>
        <w:tc>
          <w:tcPr>
            <w:tcW w:w="1688" w:type="dxa"/>
            <w:vAlign w:val="center"/>
          </w:tcPr>
          <w:p w:rsidR="007023CA" w:rsidRPr="00710079" w:rsidRDefault="00C021C8" w:rsidP="00710079">
            <w:pPr>
              <w:jc w:val="center"/>
              <w:rPr>
                <w:sz w:val="18"/>
                <w:szCs w:val="18"/>
              </w:rPr>
            </w:pPr>
            <w:r w:rsidRPr="00710079">
              <w:rPr>
                <w:sz w:val="18"/>
                <w:szCs w:val="18"/>
              </w:rPr>
              <w:t>IP(HS)</w:t>
            </w:r>
          </w:p>
          <w:p w:rsidR="00C021C8" w:rsidRPr="00710079" w:rsidRDefault="00C021C8" w:rsidP="00710079">
            <w:pPr>
              <w:jc w:val="center"/>
              <w:rPr>
                <w:sz w:val="18"/>
                <w:szCs w:val="18"/>
              </w:rPr>
            </w:pPr>
            <w:r w:rsidRPr="00710079">
              <w:rPr>
                <w:sz w:val="18"/>
                <w:szCs w:val="18"/>
              </w:rPr>
              <w:t>IS(&lt; 70)(HS)</w:t>
            </w:r>
          </w:p>
          <w:p w:rsidR="00C021C8" w:rsidRPr="00710079" w:rsidRDefault="00C021C8" w:rsidP="00710079">
            <w:pPr>
              <w:jc w:val="center"/>
              <w:rPr>
                <w:sz w:val="18"/>
                <w:szCs w:val="18"/>
              </w:rPr>
            </w:pPr>
            <w:r w:rsidRPr="00710079">
              <w:rPr>
                <w:sz w:val="18"/>
                <w:szCs w:val="18"/>
              </w:rPr>
              <w:t xml:space="preserve">IT(P </w:t>
            </w:r>
            <w:r w:rsidRPr="00710079">
              <w:rPr>
                <w:sz w:val="18"/>
                <w:szCs w:val="18"/>
              </w:rPr>
              <w:sym w:font="Symbol" w:char="F0B3"/>
            </w:r>
            <w:r w:rsidRPr="00710079">
              <w:rPr>
                <w:sz w:val="18"/>
                <w:szCs w:val="18"/>
              </w:rPr>
              <w:t xml:space="preserve"> S)(HS)</w:t>
            </w:r>
          </w:p>
          <w:p w:rsidR="00C021C8" w:rsidRPr="00710079" w:rsidRDefault="00C021C8" w:rsidP="00710079">
            <w:pPr>
              <w:jc w:val="center"/>
              <w:rPr>
                <w:sz w:val="18"/>
                <w:szCs w:val="18"/>
              </w:rPr>
            </w:pPr>
            <w:r w:rsidRPr="00710079">
              <w:rPr>
                <w:sz w:val="18"/>
                <w:szCs w:val="18"/>
              </w:rPr>
              <w:t>IT(P &lt; S &lt; 70)(HS)</w:t>
            </w:r>
          </w:p>
        </w:tc>
        <w:tc>
          <w:tcPr>
            <w:tcW w:w="706" w:type="dxa"/>
            <w:vAlign w:val="center"/>
          </w:tcPr>
          <w:p w:rsidR="007023CA" w:rsidRPr="00710079" w:rsidRDefault="00C021C8" w:rsidP="00710079">
            <w:pPr>
              <w:jc w:val="center"/>
              <w:rPr>
                <w:sz w:val="18"/>
                <w:szCs w:val="18"/>
              </w:rPr>
            </w:pPr>
            <w:r w:rsidRPr="00710079">
              <w:rPr>
                <w:sz w:val="18"/>
                <w:szCs w:val="18"/>
              </w:rPr>
              <w:t>HS</w:t>
            </w:r>
          </w:p>
        </w:tc>
        <w:tc>
          <w:tcPr>
            <w:tcW w:w="1211" w:type="dxa"/>
            <w:vAlign w:val="center"/>
          </w:tcPr>
          <w:p w:rsidR="00C021C8" w:rsidRPr="00710079" w:rsidRDefault="00C021C8" w:rsidP="00710079">
            <w:pPr>
              <w:jc w:val="center"/>
              <w:rPr>
                <w:sz w:val="18"/>
                <w:szCs w:val="18"/>
              </w:rPr>
            </w:pPr>
            <w:r w:rsidRPr="00710079">
              <w:rPr>
                <w:sz w:val="18"/>
                <w:szCs w:val="18"/>
              </w:rPr>
              <w:t>0.45</w:t>
            </w:r>
          </w:p>
        </w:tc>
      </w:tr>
      <w:tr w:rsidR="00710079" w:rsidRPr="00710079" w:rsidTr="00710079">
        <w:trPr>
          <w:jc w:val="center"/>
        </w:trPr>
        <w:tc>
          <w:tcPr>
            <w:tcW w:w="468" w:type="dxa"/>
            <w:vAlign w:val="center"/>
          </w:tcPr>
          <w:p w:rsidR="00C021C8" w:rsidRPr="00710079" w:rsidRDefault="00C021C8" w:rsidP="00710079">
            <w:pPr>
              <w:jc w:val="center"/>
              <w:rPr>
                <w:sz w:val="18"/>
                <w:szCs w:val="18"/>
              </w:rPr>
            </w:pPr>
            <w:r w:rsidRPr="00710079">
              <w:rPr>
                <w:sz w:val="18"/>
                <w:szCs w:val="18"/>
              </w:rPr>
              <w:t>S3</w:t>
            </w:r>
            <w:r w:rsidR="000079CD" w:rsidRPr="00710079">
              <w:rPr>
                <w:sz w:val="18"/>
                <w:szCs w:val="18"/>
                <w:vertAlign w:val="superscript"/>
              </w:rPr>
              <w:t>5</w:t>
            </w:r>
          </w:p>
        </w:tc>
        <w:tc>
          <w:tcPr>
            <w:tcW w:w="1018" w:type="dxa"/>
            <w:vAlign w:val="center"/>
          </w:tcPr>
          <w:p w:rsidR="00C021C8" w:rsidRPr="00710079" w:rsidRDefault="00C021C8" w:rsidP="00710079">
            <w:pPr>
              <w:jc w:val="center"/>
              <w:rPr>
                <w:sz w:val="18"/>
                <w:szCs w:val="18"/>
              </w:rPr>
            </w:pPr>
            <w:r w:rsidRPr="00710079">
              <w:rPr>
                <w:sz w:val="18"/>
                <w:szCs w:val="18"/>
              </w:rPr>
              <w:t>Very Severe</w:t>
            </w:r>
          </w:p>
        </w:tc>
        <w:tc>
          <w:tcPr>
            <w:tcW w:w="1610" w:type="dxa"/>
            <w:vAlign w:val="center"/>
          </w:tcPr>
          <w:p w:rsidR="00C021C8" w:rsidRPr="00710079" w:rsidRDefault="00C021C8" w:rsidP="00710079">
            <w:pPr>
              <w:jc w:val="center"/>
              <w:rPr>
                <w:sz w:val="18"/>
                <w:szCs w:val="18"/>
              </w:rPr>
            </w:pPr>
            <w:r w:rsidRPr="00710079">
              <w:rPr>
                <w:sz w:val="18"/>
                <w:szCs w:val="18"/>
              </w:rPr>
              <w:t>SO</w:t>
            </w:r>
            <w:r w:rsidRPr="00710079">
              <w:rPr>
                <w:sz w:val="18"/>
                <w:szCs w:val="18"/>
                <w:vertAlign w:val="subscript"/>
              </w:rPr>
              <w:t>4</w:t>
            </w:r>
            <w:r w:rsidRPr="00710079">
              <w:rPr>
                <w:sz w:val="18"/>
                <w:szCs w:val="18"/>
              </w:rPr>
              <w:t xml:space="preserve"> &gt; 2.00</w:t>
            </w:r>
          </w:p>
        </w:tc>
        <w:tc>
          <w:tcPr>
            <w:tcW w:w="1813" w:type="dxa"/>
            <w:vAlign w:val="center"/>
          </w:tcPr>
          <w:p w:rsidR="00C021C8" w:rsidRPr="00710079" w:rsidRDefault="00C021C8" w:rsidP="00710079">
            <w:pPr>
              <w:jc w:val="center"/>
              <w:rPr>
                <w:sz w:val="18"/>
                <w:szCs w:val="18"/>
              </w:rPr>
            </w:pPr>
            <w:r w:rsidRPr="00710079">
              <w:rPr>
                <w:sz w:val="18"/>
                <w:szCs w:val="18"/>
              </w:rPr>
              <w:t>SO</w:t>
            </w:r>
            <w:r w:rsidRPr="00710079">
              <w:rPr>
                <w:sz w:val="18"/>
                <w:szCs w:val="18"/>
                <w:vertAlign w:val="subscript"/>
              </w:rPr>
              <w:t>4</w:t>
            </w:r>
            <w:r w:rsidRPr="00710079">
              <w:rPr>
                <w:sz w:val="18"/>
                <w:szCs w:val="18"/>
              </w:rPr>
              <w:t xml:space="preserve"> &gt; 10,000</w:t>
            </w:r>
          </w:p>
        </w:tc>
        <w:tc>
          <w:tcPr>
            <w:tcW w:w="1185" w:type="dxa"/>
            <w:vAlign w:val="center"/>
          </w:tcPr>
          <w:p w:rsidR="00C021C8" w:rsidRPr="00710079" w:rsidRDefault="00C021C8" w:rsidP="00710079">
            <w:pPr>
              <w:jc w:val="center"/>
              <w:rPr>
                <w:sz w:val="18"/>
                <w:szCs w:val="18"/>
              </w:rPr>
            </w:pPr>
            <w:r w:rsidRPr="00710079">
              <w:rPr>
                <w:sz w:val="18"/>
                <w:szCs w:val="18"/>
              </w:rPr>
              <w:t>V</w:t>
            </w:r>
          </w:p>
        </w:tc>
        <w:tc>
          <w:tcPr>
            <w:tcW w:w="1688" w:type="dxa"/>
            <w:vAlign w:val="center"/>
          </w:tcPr>
          <w:p w:rsidR="00C021C8" w:rsidRPr="00710079" w:rsidRDefault="00C021C8" w:rsidP="00710079">
            <w:pPr>
              <w:jc w:val="center"/>
              <w:rPr>
                <w:sz w:val="18"/>
                <w:szCs w:val="18"/>
              </w:rPr>
            </w:pPr>
            <w:r w:rsidRPr="00710079">
              <w:rPr>
                <w:sz w:val="18"/>
                <w:szCs w:val="18"/>
              </w:rPr>
              <w:t>IP(HS)</w:t>
            </w:r>
          </w:p>
          <w:p w:rsidR="00C021C8" w:rsidRPr="00710079" w:rsidRDefault="00C021C8" w:rsidP="00710079">
            <w:pPr>
              <w:jc w:val="center"/>
              <w:rPr>
                <w:sz w:val="18"/>
                <w:szCs w:val="18"/>
              </w:rPr>
            </w:pPr>
            <w:r w:rsidRPr="00710079">
              <w:rPr>
                <w:sz w:val="18"/>
                <w:szCs w:val="18"/>
              </w:rPr>
              <w:t>IS(&lt; 70)(HS)</w:t>
            </w:r>
          </w:p>
          <w:p w:rsidR="00C021C8" w:rsidRPr="00710079" w:rsidRDefault="00C021C8" w:rsidP="00710079">
            <w:pPr>
              <w:jc w:val="center"/>
              <w:rPr>
                <w:sz w:val="18"/>
                <w:szCs w:val="18"/>
              </w:rPr>
            </w:pPr>
            <w:r w:rsidRPr="00710079">
              <w:rPr>
                <w:sz w:val="18"/>
                <w:szCs w:val="18"/>
              </w:rPr>
              <w:t xml:space="preserve">IT(P </w:t>
            </w:r>
            <w:r w:rsidRPr="00710079">
              <w:rPr>
                <w:sz w:val="18"/>
                <w:szCs w:val="18"/>
              </w:rPr>
              <w:sym w:font="Symbol" w:char="F0B3"/>
            </w:r>
            <w:r w:rsidRPr="00710079">
              <w:rPr>
                <w:sz w:val="18"/>
                <w:szCs w:val="18"/>
              </w:rPr>
              <w:t xml:space="preserve"> S)(HS)</w:t>
            </w:r>
          </w:p>
          <w:p w:rsidR="00C021C8" w:rsidRPr="00710079" w:rsidRDefault="00C021C8" w:rsidP="00710079">
            <w:pPr>
              <w:jc w:val="center"/>
              <w:rPr>
                <w:sz w:val="18"/>
                <w:szCs w:val="18"/>
              </w:rPr>
            </w:pPr>
            <w:r w:rsidRPr="00710079">
              <w:rPr>
                <w:sz w:val="18"/>
                <w:szCs w:val="18"/>
              </w:rPr>
              <w:t>IT(P &lt; S &lt; 70)(HS)</w:t>
            </w:r>
          </w:p>
        </w:tc>
        <w:tc>
          <w:tcPr>
            <w:tcW w:w="706" w:type="dxa"/>
            <w:vAlign w:val="center"/>
          </w:tcPr>
          <w:p w:rsidR="00C021C8" w:rsidRPr="00710079" w:rsidRDefault="00C021C8" w:rsidP="00710079">
            <w:pPr>
              <w:jc w:val="center"/>
              <w:rPr>
                <w:sz w:val="18"/>
                <w:szCs w:val="18"/>
              </w:rPr>
            </w:pPr>
            <w:r w:rsidRPr="00710079">
              <w:rPr>
                <w:sz w:val="18"/>
                <w:szCs w:val="18"/>
              </w:rPr>
              <w:t>HS</w:t>
            </w:r>
          </w:p>
        </w:tc>
        <w:tc>
          <w:tcPr>
            <w:tcW w:w="1211" w:type="dxa"/>
            <w:vAlign w:val="center"/>
          </w:tcPr>
          <w:p w:rsidR="00C021C8" w:rsidRPr="00710079" w:rsidRDefault="00C021C8" w:rsidP="00710079">
            <w:pPr>
              <w:jc w:val="center"/>
              <w:rPr>
                <w:sz w:val="18"/>
                <w:szCs w:val="18"/>
              </w:rPr>
            </w:pPr>
            <w:r w:rsidRPr="00710079">
              <w:rPr>
                <w:sz w:val="18"/>
                <w:szCs w:val="18"/>
              </w:rPr>
              <w:t>0.40</w:t>
            </w:r>
          </w:p>
        </w:tc>
      </w:tr>
    </w:tbl>
    <w:p w:rsidR="000C7BE2" w:rsidRDefault="000C7BE2" w:rsidP="000C7BE2">
      <w:pPr>
        <w:tabs>
          <w:tab w:val="left" w:pos="180"/>
        </w:tabs>
        <w:ind w:left="180" w:hanging="180"/>
        <w:rPr>
          <w:sz w:val="20"/>
        </w:rPr>
      </w:pPr>
      <w:r w:rsidRPr="000C7BE2">
        <w:rPr>
          <w:sz w:val="20"/>
          <w:vertAlign w:val="superscript"/>
        </w:rPr>
        <w:t>1</w:t>
      </w:r>
      <w:r>
        <w:rPr>
          <w:sz w:val="20"/>
          <w:vertAlign w:val="superscript"/>
        </w:rPr>
        <w:tab/>
      </w:r>
      <w:r w:rsidRPr="000C7BE2">
        <w:rPr>
          <w:sz w:val="20"/>
        </w:rPr>
        <w:t>Soil</w:t>
      </w:r>
      <w:r>
        <w:rPr>
          <w:sz w:val="20"/>
        </w:rPr>
        <w:t xml:space="preserve"> is tested per ASTM C1580 and water per ASTM D516.</w:t>
      </w:r>
    </w:p>
    <w:p w:rsidR="000C7BE2" w:rsidRPr="000C7BE2" w:rsidRDefault="000079CD" w:rsidP="000C7BE2">
      <w:pPr>
        <w:tabs>
          <w:tab w:val="left" w:pos="180"/>
        </w:tabs>
        <w:ind w:left="180" w:hanging="180"/>
        <w:rPr>
          <w:sz w:val="20"/>
        </w:rPr>
      </w:pPr>
      <w:r>
        <w:rPr>
          <w:sz w:val="20"/>
          <w:vertAlign w:val="superscript"/>
        </w:rPr>
        <w:t>2</w:t>
      </w:r>
      <w:r w:rsidR="000C7BE2">
        <w:rPr>
          <w:sz w:val="20"/>
          <w:vertAlign w:val="superscript"/>
        </w:rPr>
        <w:tab/>
      </w:r>
      <w:r w:rsidR="000C7BE2">
        <w:rPr>
          <w:sz w:val="20"/>
        </w:rPr>
        <w:t>Pozzolans and slag that have been determined by testing according to ASTM C1012 or by service record to improve sulfate resistance may also be used in concrete.  Maximum expansions when using ASTM C1012</w:t>
      </w:r>
      <w:r>
        <w:rPr>
          <w:sz w:val="20"/>
        </w:rPr>
        <w:t>.  Moderate exposure – 0.10% at 6 months; Severe exposure – 0.05% at 6 months or 0.10% at 12 months; Very Severe exposure – 0.10% at 18 months.  Refer to ACI 201.2R for more guidance.  ASTM C595 Type IT was adopted in 2009 and has not been reviewed by ACI at the time of printing.</w:t>
      </w:r>
    </w:p>
    <w:p w:rsidR="000079CD" w:rsidRPr="000C7BE2" w:rsidRDefault="000079CD" w:rsidP="000079CD">
      <w:pPr>
        <w:tabs>
          <w:tab w:val="left" w:pos="180"/>
        </w:tabs>
        <w:ind w:left="180" w:hanging="180"/>
        <w:rPr>
          <w:sz w:val="20"/>
          <w:vertAlign w:val="superscript"/>
        </w:rPr>
      </w:pPr>
      <w:r w:rsidRPr="000079CD">
        <w:rPr>
          <w:sz w:val="20"/>
          <w:vertAlign w:val="superscript"/>
        </w:rPr>
        <w:t>3</w:t>
      </w:r>
      <w:r>
        <w:rPr>
          <w:sz w:val="20"/>
        </w:rPr>
        <w:tab/>
      </w:r>
      <w:r w:rsidRPr="000C7BE2">
        <w:rPr>
          <w:sz w:val="20"/>
        </w:rPr>
        <w:t>Adopted from Bureau of Reclamation Concrete Manual, ACI 201 and ACI 318.  “NSR” indicates no special requirements for sulfate resistance.</w:t>
      </w:r>
    </w:p>
    <w:p w:rsidR="000C7BE2" w:rsidRDefault="000C7BE2" w:rsidP="000C7BE2">
      <w:pPr>
        <w:tabs>
          <w:tab w:val="left" w:pos="180"/>
        </w:tabs>
        <w:ind w:left="180" w:hanging="180"/>
        <w:rPr>
          <w:sz w:val="20"/>
        </w:rPr>
      </w:pPr>
      <w:r w:rsidRPr="000C7BE2">
        <w:rPr>
          <w:sz w:val="20"/>
          <w:vertAlign w:val="superscript"/>
        </w:rPr>
        <w:t xml:space="preserve">4 </w:t>
      </w:r>
      <w:r w:rsidR="000079CD">
        <w:rPr>
          <w:sz w:val="20"/>
          <w:vertAlign w:val="superscript"/>
        </w:rPr>
        <w:tab/>
      </w:r>
      <w:r w:rsidR="000079CD" w:rsidRPr="000079CD">
        <w:rPr>
          <w:sz w:val="20"/>
        </w:rPr>
        <w:t>I</w:t>
      </w:r>
      <w:r w:rsidR="000079CD">
        <w:rPr>
          <w:sz w:val="20"/>
        </w:rPr>
        <w:t>ncludes seawater.</w:t>
      </w:r>
    </w:p>
    <w:p w:rsidR="000079CD" w:rsidRPr="000079CD" w:rsidRDefault="000079CD" w:rsidP="000C7BE2">
      <w:pPr>
        <w:tabs>
          <w:tab w:val="left" w:pos="180"/>
        </w:tabs>
        <w:ind w:left="180" w:hanging="180"/>
        <w:rPr>
          <w:sz w:val="20"/>
        </w:rPr>
      </w:pPr>
      <w:r w:rsidRPr="000079CD">
        <w:rPr>
          <w:sz w:val="20"/>
          <w:vertAlign w:val="superscript"/>
        </w:rPr>
        <w:t>5</w:t>
      </w:r>
      <w:r w:rsidRPr="000079CD">
        <w:rPr>
          <w:sz w:val="20"/>
          <w:vertAlign w:val="superscript"/>
        </w:rPr>
        <w:tab/>
      </w:r>
      <w:r>
        <w:rPr>
          <w:sz w:val="20"/>
        </w:rPr>
        <w:t>ACI 318 requires SCMs (tested to verify improved sulfate resistance) with Types V, IP(HS), IS(&lt; 70)(HS) and HS cements for exposure class S3.  ACI 318 requires a maximum water cement ratio of 0.45 for exposure class S3.</w:t>
      </w:r>
    </w:p>
    <w:p w:rsidR="00B80DB5" w:rsidRDefault="00B80DB5" w:rsidP="00B80DB5">
      <w:pPr>
        <w:rPr>
          <w:spacing w:val="-2"/>
        </w:rPr>
      </w:pPr>
    </w:p>
    <w:p w:rsidR="004774B9" w:rsidRDefault="004774B9" w:rsidP="005E11F5">
      <w:r>
        <w:t xml:space="preserve">When durability does not control, the </w:t>
      </w:r>
      <w:r>
        <w:rPr>
          <w:i/>
        </w:rPr>
        <w:t>w/cm</w:t>
      </w:r>
      <w:r>
        <w:t xml:space="preserve"> should be selected based on the strength requirements of the structure.</w:t>
      </w:r>
    </w:p>
    <w:p w:rsidR="004774B9" w:rsidRDefault="004774B9" w:rsidP="005E11F5"/>
    <w:p w:rsidR="004774B9" w:rsidRDefault="004774B9" w:rsidP="00B80DB5">
      <w:pPr>
        <w:pStyle w:val="Heading5"/>
      </w:pPr>
      <w:r>
        <w:t xml:space="preserve">Aggregate </w:t>
      </w:r>
      <w:r w:rsidR="00B80DB5">
        <w:t>C</w:t>
      </w:r>
      <w:r>
        <w:t>haracteristics</w:t>
      </w:r>
    </w:p>
    <w:p w:rsidR="004774B9" w:rsidRDefault="004774B9" w:rsidP="005E11F5">
      <w:r>
        <w:t>There are two important characteristics of the aggregates that influence the mixture proportioning process: grading (particle size distribution) and nature of the particles (shape, porosity, and surface texture).  Both have been discussed previously under the aggregate chapter.</w:t>
      </w:r>
    </w:p>
    <w:p w:rsidR="006F33A8" w:rsidRDefault="006F33A8" w:rsidP="006F33A8"/>
    <w:p w:rsidR="004774B9" w:rsidRDefault="004774B9" w:rsidP="006F33A8">
      <w:r>
        <w:t xml:space="preserve">It is worth emphasizing that grading is extremely important from the perspective of mixture economics, as well as from an environmental perspective, as it controls the amount of cementitious materials required.  Grading impacts the volume of aggregate in the </w:t>
      </w:r>
      <w:r w:rsidR="00B55EC9">
        <w:t>concrete</w:t>
      </w:r>
      <w:r>
        <w:t>, and as long as all other design requirements are met, grading that maximizes aggregate volume will be economic and have a smaller environmental footprint.  It will also have less shrinkage potential and may have increased durability.</w:t>
      </w:r>
      <w:r w:rsidR="00B80DB5">
        <w:t xml:space="preserve"> </w:t>
      </w:r>
      <w:r>
        <w:t xml:space="preserve"> The volume of aggregate can be increased by using the largest aggregate size possible and by optimizing the gradation to increase particle packing.</w:t>
      </w:r>
    </w:p>
    <w:p w:rsidR="004774B9" w:rsidRDefault="004774B9" w:rsidP="006F33A8"/>
    <w:p w:rsidR="004774B9" w:rsidRDefault="004774B9" w:rsidP="006F33A8">
      <w:r>
        <w:t xml:space="preserve">The maximum coarse aggregate size is often controlled by the source but the following rules exist to ensure that the aggregate </w:t>
      </w:r>
      <w:r w:rsidRPr="003B4B21">
        <w:t>used</w:t>
      </w:r>
      <w:r>
        <w:t xml:space="preserve"> is not too large:</w:t>
      </w:r>
    </w:p>
    <w:p w:rsidR="004774B9" w:rsidRDefault="004774B9" w:rsidP="006F33A8"/>
    <w:p w:rsidR="004774B9" w:rsidRPr="003B4B21" w:rsidRDefault="004774B9" w:rsidP="005B140A">
      <w:pPr>
        <w:pStyle w:val="ListParagraph"/>
        <w:numPr>
          <w:ilvl w:val="0"/>
          <w:numId w:val="18"/>
        </w:numPr>
        <w:autoSpaceDE w:val="0"/>
        <w:autoSpaceDN w:val="0"/>
        <w:adjustRightInd w:val="0"/>
        <w:ind w:left="720"/>
      </w:pPr>
      <w:r>
        <w:rPr>
          <w:szCs w:val="24"/>
        </w:rPr>
        <w:t xml:space="preserve">The </w:t>
      </w:r>
      <w:r>
        <w:t xml:space="preserve">aggregate should not </w:t>
      </w:r>
      <w:r w:rsidRPr="003B4B21">
        <w:rPr>
          <w:szCs w:val="24"/>
        </w:rPr>
        <w:t>exceed one-fifth the narro</w:t>
      </w:r>
      <w:r>
        <w:t xml:space="preserve">west dimension between sides of </w:t>
      </w:r>
      <w:r w:rsidRPr="003B4B21">
        <w:rPr>
          <w:szCs w:val="24"/>
        </w:rPr>
        <w:t>forms</w:t>
      </w:r>
      <w:r>
        <w:rPr>
          <w:szCs w:val="24"/>
        </w:rPr>
        <w:t>.</w:t>
      </w:r>
    </w:p>
    <w:p w:rsidR="004774B9" w:rsidRPr="003B4B21" w:rsidRDefault="004774B9" w:rsidP="005B140A">
      <w:pPr>
        <w:pStyle w:val="ListParagraph"/>
        <w:numPr>
          <w:ilvl w:val="0"/>
          <w:numId w:val="18"/>
        </w:numPr>
        <w:autoSpaceDE w:val="0"/>
        <w:autoSpaceDN w:val="0"/>
        <w:adjustRightInd w:val="0"/>
        <w:ind w:left="720"/>
      </w:pPr>
      <w:r>
        <w:rPr>
          <w:szCs w:val="24"/>
        </w:rPr>
        <w:t>The aggregate should not exceed</w:t>
      </w:r>
      <w:r w:rsidRPr="003B4B21">
        <w:rPr>
          <w:szCs w:val="24"/>
        </w:rPr>
        <w:t xml:space="preserve"> three-fourths the</w:t>
      </w:r>
      <w:r>
        <w:t xml:space="preserve"> clear space between individual </w:t>
      </w:r>
      <w:r w:rsidRPr="003B4B21">
        <w:rPr>
          <w:szCs w:val="24"/>
        </w:rPr>
        <w:t>reinforcing bars or wire, b</w:t>
      </w:r>
      <w:r>
        <w:t xml:space="preserve">undles of bars, or prestressing </w:t>
      </w:r>
      <w:r w:rsidRPr="003B4B21">
        <w:rPr>
          <w:szCs w:val="24"/>
        </w:rPr>
        <w:t xml:space="preserve">tendons or ducts. </w:t>
      </w:r>
    </w:p>
    <w:p w:rsidR="004774B9" w:rsidRDefault="004774B9" w:rsidP="005B140A">
      <w:pPr>
        <w:pStyle w:val="ListParagraph"/>
        <w:numPr>
          <w:ilvl w:val="0"/>
          <w:numId w:val="18"/>
        </w:numPr>
        <w:autoSpaceDE w:val="0"/>
        <w:autoSpaceDN w:val="0"/>
        <w:adjustRightInd w:val="0"/>
        <w:ind w:left="720"/>
      </w:pPr>
      <w:r w:rsidRPr="003B4B21">
        <w:rPr>
          <w:szCs w:val="24"/>
        </w:rPr>
        <w:t>It is also g</w:t>
      </w:r>
      <w:r>
        <w:t xml:space="preserve">ood practice to limit aggregate </w:t>
      </w:r>
      <w:r w:rsidRPr="003B4B21">
        <w:rPr>
          <w:szCs w:val="24"/>
        </w:rPr>
        <w:t>size to not more than three-</w:t>
      </w:r>
      <w:r>
        <w:t xml:space="preserve">fourths the clear space between </w:t>
      </w:r>
      <w:r w:rsidRPr="003B4B21">
        <w:rPr>
          <w:szCs w:val="24"/>
        </w:rPr>
        <w:t>reinforcement and the f</w:t>
      </w:r>
      <w:r>
        <w:t xml:space="preserve">orms. </w:t>
      </w:r>
    </w:p>
    <w:p w:rsidR="004774B9" w:rsidRPr="003B4B21" w:rsidRDefault="004774B9" w:rsidP="005B140A">
      <w:pPr>
        <w:pStyle w:val="ListParagraph"/>
        <w:numPr>
          <w:ilvl w:val="0"/>
          <w:numId w:val="18"/>
        </w:numPr>
        <w:autoSpaceDE w:val="0"/>
        <w:autoSpaceDN w:val="0"/>
        <w:adjustRightInd w:val="0"/>
        <w:ind w:left="720"/>
      </w:pPr>
      <w:r>
        <w:t xml:space="preserve">For unreinforced slabs on </w:t>
      </w:r>
      <w:r w:rsidRPr="003B4B21">
        <w:rPr>
          <w:szCs w:val="24"/>
        </w:rPr>
        <w:t xml:space="preserve">ground, the maximum </w:t>
      </w:r>
      <w:r>
        <w:rPr>
          <w:szCs w:val="24"/>
        </w:rPr>
        <w:t xml:space="preserve">aggregate </w:t>
      </w:r>
      <w:r w:rsidRPr="003B4B21">
        <w:rPr>
          <w:szCs w:val="24"/>
        </w:rPr>
        <w:t xml:space="preserve">size </w:t>
      </w:r>
      <w:r>
        <w:t xml:space="preserve">should not exceed one third the </w:t>
      </w:r>
      <w:r w:rsidRPr="003B4B21">
        <w:rPr>
          <w:szCs w:val="24"/>
        </w:rPr>
        <w:t>slab thickness.</w:t>
      </w:r>
    </w:p>
    <w:p w:rsidR="004774B9" w:rsidRDefault="004774B9" w:rsidP="006F33A8"/>
    <w:p w:rsidR="004774B9" w:rsidRDefault="004774B9" w:rsidP="006F33A8">
      <w:r>
        <w:t xml:space="preserve">Aggregate grading for </w:t>
      </w:r>
      <w:r w:rsidR="00B55EC9">
        <w:t>concrete</w:t>
      </w:r>
      <w:r>
        <w:t xml:space="preserve"> has become an important consideration in recent years.  In the past it was very common to combine a single coarse aggregate and a single fine aggregate together, and as long as broad grading requirements were met, it was considered acceptable.  Often the combined aggregate was gap-graded, meaning that there were coarse-sized particles and fine-sized particles, but the intermediate-sized particles (in the range of 3/8-in to the No. 8 sieve) were absent.  This “gap” in the grading had to be filled with cementitious materials and water, negatively impacting the economics, workability, shrinkage, durability, and environm</w:t>
      </w:r>
      <w:r w:rsidR="00B80DB5">
        <w:t>ental footprint of the mixture.</w:t>
      </w:r>
    </w:p>
    <w:p w:rsidR="004774B9" w:rsidRDefault="004774B9" w:rsidP="006F33A8"/>
    <w:p w:rsidR="004774B9" w:rsidRDefault="004774B9" w:rsidP="006F33A8">
      <w:r>
        <w:t xml:space="preserve">Today it is becoming more common to consider a combined aggregate gradation based on combined grading analysis (Shilstone 1990). </w:t>
      </w:r>
      <w:r w:rsidR="00B80DB5">
        <w:t xml:space="preserve"> </w:t>
      </w:r>
      <w:r>
        <w:t xml:space="preserve">In this approach, the following three tools were developed to assist in evaluating the </w:t>
      </w:r>
      <w:r w:rsidR="00B55EC9">
        <w:t>concrete</w:t>
      </w:r>
      <w:r>
        <w:t xml:space="preserve"> aggregate grading:</w:t>
      </w:r>
    </w:p>
    <w:p w:rsidR="004774B9" w:rsidRDefault="004774B9" w:rsidP="006F33A8"/>
    <w:p w:rsidR="004774B9" w:rsidRPr="00BD5F57" w:rsidRDefault="004774B9" w:rsidP="004C5C42">
      <w:pPr>
        <w:pStyle w:val="ListParagraph"/>
        <w:numPr>
          <w:ilvl w:val="0"/>
          <w:numId w:val="19"/>
        </w:numPr>
        <w:tabs>
          <w:tab w:val="left" w:pos="5760"/>
        </w:tabs>
        <w:autoSpaceDE w:val="0"/>
        <w:autoSpaceDN w:val="0"/>
        <w:adjustRightInd w:val="0"/>
        <w:ind w:left="720"/>
      </w:pPr>
      <w:r>
        <w:rPr>
          <w:spacing w:val="-2"/>
        </w:rPr>
        <w:t>Coarseness factor chart (CFC)</w:t>
      </w:r>
      <w:r w:rsidR="00D57782">
        <w:rPr>
          <w:spacing w:val="-2"/>
        </w:rPr>
        <w:t xml:space="preserve"> – shown in Figure 3-30</w:t>
      </w:r>
      <w:r w:rsidR="00B80DB5">
        <w:rPr>
          <w:spacing w:val="-2"/>
        </w:rPr>
        <w:t>.</w:t>
      </w:r>
    </w:p>
    <w:p w:rsidR="004774B9" w:rsidRPr="00A120B2" w:rsidRDefault="004774B9" w:rsidP="005B140A">
      <w:pPr>
        <w:pStyle w:val="ListParagraph"/>
        <w:numPr>
          <w:ilvl w:val="0"/>
          <w:numId w:val="19"/>
        </w:numPr>
        <w:autoSpaceDE w:val="0"/>
        <w:autoSpaceDN w:val="0"/>
        <w:adjustRightInd w:val="0"/>
        <w:ind w:left="720"/>
      </w:pPr>
      <w:r>
        <w:rPr>
          <w:spacing w:val="-2"/>
        </w:rPr>
        <w:t>0.45 power chart</w:t>
      </w:r>
      <w:r w:rsidR="00162EB9">
        <w:rPr>
          <w:spacing w:val="-2"/>
        </w:rPr>
        <w:t xml:space="preserve"> – shown in Figure 3-</w:t>
      </w:r>
      <w:r w:rsidR="00CC4DEE">
        <w:rPr>
          <w:spacing w:val="-2"/>
        </w:rPr>
        <w:t>3</w:t>
      </w:r>
      <w:r w:rsidR="00D57782">
        <w:rPr>
          <w:spacing w:val="-2"/>
        </w:rPr>
        <w:t>1</w:t>
      </w:r>
      <w:r w:rsidR="006902B0">
        <w:rPr>
          <w:spacing w:val="-2"/>
        </w:rPr>
        <w:t>.</w:t>
      </w:r>
    </w:p>
    <w:p w:rsidR="004774B9" w:rsidRPr="00D57782" w:rsidRDefault="004774B9" w:rsidP="005B140A">
      <w:pPr>
        <w:pStyle w:val="ListParagraph"/>
        <w:numPr>
          <w:ilvl w:val="0"/>
          <w:numId w:val="19"/>
        </w:numPr>
        <w:autoSpaceDE w:val="0"/>
        <w:autoSpaceDN w:val="0"/>
        <w:adjustRightInd w:val="0"/>
        <w:ind w:left="720"/>
      </w:pPr>
      <w:r>
        <w:rPr>
          <w:spacing w:val="-2"/>
        </w:rPr>
        <w:t>Percent aggregate retained on each sieve chart (PARC)</w:t>
      </w:r>
      <w:r w:rsidR="00162EB9">
        <w:rPr>
          <w:spacing w:val="-2"/>
        </w:rPr>
        <w:t xml:space="preserve"> – shown in Figure 3-</w:t>
      </w:r>
      <w:r w:rsidR="00CC4DEE">
        <w:rPr>
          <w:spacing w:val="-2"/>
        </w:rPr>
        <w:t>3</w:t>
      </w:r>
      <w:r w:rsidR="00D57782">
        <w:rPr>
          <w:spacing w:val="-2"/>
        </w:rPr>
        <w:t>2</w:t>
      </w:r>
      <w:r w:rsidR="00B80DB5">
        <w:rPr>
          <w:spacing w:val="-2"/>
        </w:rPr>
        <w:t>.</w:t>
      </w:r>
    </w:p>
    <w:p w:rsidR="00D57782" w:rsidRDefault="00D57782" w:rsidP="00D57782">
      <w:pPr>
        <w:autoSpaceDE w:val="0"/>
        <w:autoSpaceDN w:val="0"/>
        <w:adjustRightInd w:val="0"/>
      </w:pPr>
    </w:p>
    <w:p w:rsidR="00D57782" w:rsidRPr="00CD6662" w:rsidRDefault="00D57782" w:rsidP="00D57782">
      <w:pPr>
        <w:autoSpaceDE w:val="0"/>
        <w:autoSpaceDN w:val="0"/>
        <w:adjustRightInd w:val="0"/>
        <w:jc w:val="center"/>
      </w:pPr>
      <w:r w:rsidRPr="00D57782">
        <w:rPr>
          <w:noProof/>
        </w:rPr>
        <w:drawing>
          <wp:inline distT="0" distB="0" distL="0" distR="0">
            <wp:extent cx="3200400" cy="3231872"/>
            <wp:effectExtent l="19050" t="0" r="0" b="0"/>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srcRect l="1826" t="1534"/>
                    <a:stretch>
                      <a:fillRect/>
                    </a:stretch>
                  </pic:blipFill>
                  <pic:spPr bwMode="auto">
                    <a:xfrm>
                      <a:off x="0" y="0"/>
                      <a:ext cx="3200400" cy="3231872"/>
                    </a:xfrm>
                    <a:prstGeom prst="rect">
                      <a:avLst/>
                    </a:prstGeom>
                    <a:noFill/>
                    <a:ln w="9525">
                      <a:noFill/>
                      <a:miter lim="800000"/>
                      <a:headEnd/>
                      <a:tailEnd/>
                    </a:ln>
                  </pic:spPr>
                </pic:pic>
              </a:graphicData>
            </a:graphic>
          </wp:inline>
        </w:drawing>
      </w:r>
    </w:p>
    <w:p w:rsidR="00D57782" w:rsidRDefault="00D57782" w:rsidP="00D57782">
      <w:pPr>
        <w:pStyle w:val="APTechFigureCaption"/>
        <w:rPr>
          <w:spacing w:val="-2"/>
        </w:rPr>
      </w:pPr>
      <w:bookmarkStart w:id="201" w:name="_Ref275008931"/>
      <w:bookmarkStart w:id="202" w:name="f35"/>
      <w:bookmarkStart w:id="203" w:name="_Toc295918059"/>
      <w:r>
        <w:t>Figure</w:t>
      </w:r>
      <w:bookmarkEnd w:id="201"/>
      <w:r>
        <w:t xml:space="preserve"> 3-3</w:t>
      </w:r>
      <w:bookmarkEnd w:id="202"/>
      <w:r>
        <w:t xml:space="preserve">0.  </w:t>
      </w:r>
      <w:r>
        <w:rPr>
          <w:spacing w:val="-2"/>
        </w:rPr>
        <w:t>Modified coarseness factor chart (Shilstone 1990).</w:t>
      </w:r>
      <w:bookmarkEnd w:id="203"/>
    </w:p>
    <w:p w:rsidR="00B80DB5" w:rsidRDefault="00B80DB5" w:rsidP="00B80DB5"/>
    <w:p w:rsidR="00162EB9" w:rsidRDefault="00162EB9" w:rsidP="00162EB9">
      <w:pPr>
        <w:jc w:val="center"/>
      </w:pPr>
      <w:r>
        <w:rPr>
          <w:noProof/>
        </w:rPr>
        <w:drawing>
          <wp:inline distT="0" distB="0" distL="0" distR="0">
            <wp:extent cx="3657600" cy="3347509"/>
            <wp:effectExtent l="19050" t="0" r="0" b="0"/>
            <wp:docPr id="3" name="Picture 2" descr="0.45 power chart 1 in concr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5 power chart 1 in concrete.jpg"/>
                    <pic:cNvPicPr/>
                  </pic:nvPicPr>
                  <pic:blipFill>
                    <a:blip r:embed="rId112" cstate="print"/>
                    <a:srcRect l="40168" t="21800" r="12023" b="5400"/>
                    <a:stretch>
                      <a:fillRect/>
                    </a:stretch>
                  </pic:blipFill>
                  <pic:spPr>
                    <a:xfrm>
                      <a:off x="0" y="0"/>
                      <a:ext cx="3657600" cy="3347509"/>
                    </a:xfrm>
                    <a:prstGeom prst="rect">
                      <a:avLst/>
                    </a:prstGeom>
                  </pic:spPr>
                </pic:pic>
              </a:graphicData>
            </a:graphic>
          </wp:inline>
        </w:drawing>
      </w:r>
    </w:p>
    <w:p w:rsidR="00162EB9" w:rsidRDefault="00162EB9" w:rsidP="00162EB9">
      <w:pPr>
        <w:pStyle w:val="APTechFigureCaption"/>
      </w:pPr>
      <w:bookmarkStart w:id="204" w:name="_Ref275009020"/>
      <w:bookmarkStart w:id="205" w:name="f36"/>
      <w:bookmarkStart w:id="206" w:name="_Toc295918060"/>
      <w:r>
        <w:t xml:space="preserve">Figure </w:t>
      </w:r>
      <w:bookmarkEnd w:id="204"/>
      <w:r>
        <w:t>3-</w:t>
      </w:r>
      <w:bookmarkEnd w:id="205"/>
      <w:r w:rsidR="00CC4DEE">
        <w:t>3</w:t>
      </w:r>
      <w:r w:rsidR="00D57782">
        <w:t>1</w:t>
      </w:r>
      <w:r>
        <w:t>.  0.45 power chart for 1-in nomi</w:t>
      </w:r>
      <w:r w:rsidR="00DA2F11">
        <w:t>n</w:t>
      </w:r>
      <w:r>
        <w:t>al maximum aggregate (</w:t>
      </w:r>
      <w:hyperlink r:id="rId113" w:history="1">
        <w:r w:rsidRPr="00C34073">
          <w:rPr>
            <w:rStyle w:val="Hyperlink"/>
            <w:spacing w:val="-2"/>
          </w:rPr>
          <w:t>Taylor et al. 2006</w:t>
        </w:r>
      </w:hyperlink>
      <w:r>
        <w:t xml:space="preserve"> from Shilstone, personal communication).</w:t>
      </w:r>
      <w:bookmarkEnd w:id="206"/>
    </w:p>
    <w:p w:rsidR="00162EB9" w:rsidRDefault="00162EB9" w:rsidP="00B80DB5"/>
    <w:p w:rsidR="00162EB9" w:rsidRDefault="00162EB9" w:rsidP="00B80DB5"/>
    <w:p w:rsidR="00162EB9" w:rsidRPr="00A120B2" w:rsidRDefault="00162EB9" w:rsidP="00162EB9">
      <w:pPr>
        <w:jc w:val="center"/>
      </w:pPr>
      <w:r>
        <w:rPr>
          <w:noProof/>
        </w:rPr>
        <w:drawing>
          <wp:inline distT="0" distB="0" distL="0" distR="0">
            <wp:extent cx="3657600" cy="2440543"/>
            <wp:effectExtent l="19050" t="0" r="0" b="0"/>
            <wp:docPr id="7" name="Picture 6" descr="Percent retained 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cent retained chart.jpg"/>
                    <pic:cNvPicPr/>
                  </pic:nvPicPr>
                  <pic:blipFill>
                    <a:blip r:embed="rId114" cstate="print"/>
                    <a:srcRect l="22865" t="27400" r="17911" b="6800"/>
                    <a:stretch>
                      <a:fillRect/>
                    </a:stretch>
                  </pic:blipFill>
                  <pic:spPr>
                    <a:xfrm>
                      <a:off x="0" y="0"/>
                      <a:ext cx="3657600" cy="2440543"/>
                    </a:xfrm>
                    <a:prstGeom prst="rect">
                      <a:avLst/>
                    </a:prstGeom>
                  </pic:spPr>
                </pic:pic>
              </a:graphicData>
            </a:graphic>
          </wp:inline>
        </w:drawing>
      </w:r>
    </w:p>
    <w:p w:rsidR="00162EB9" w:rsidRDefault="00162EB9" w:rsidP="00162EB9">
      <w:pPr>
        <w:pStyle w:val="APTechFigureCaption"/>
        <w:rPr>
          <w:spacing w:val="-2"/>
        </w:rPr>
      </w:pPr>
      <w:bookmarkStart w:id="207" w:name="_Ref275009031"/>
      <w:bookmarkStart w:id="208" w:name="f37"/>
      <w:bookmarkStart w:id="209" w:name="_Toc295918061"/>
      <w:r>
        <w:t>Figure</w:t>
      </w:r>
      <w:bookmarkEnd w:id="207"/>
      <w:r>
        <w:t xml:space="preserve"> 3-</w:t>
      </w:r>
      <w:bookmarkEnd w:id="208"/>
      <w:r w:rsidR="00CC4DEE">
        <w:t>3</w:t>
      </w:r>
      <w:r w:rsidR="00D57782">
        <w:t>2</w:t>
      </w:r>
      <w:r>
        <w:t xml:space="preserve">.  </w:t>
      </w:r>
      <w:r>
        <w:rPr>
          <w:spacing w:val="-2"/>
        </w:rPr>
        <w:t>Percent aggregate retained chart (Shilstone 1990).</w:t>
      </w:r>
      <w:bookmarkEnd w:id="209"/>
    </w:p>
    <w:p w:rsidR="00162EB9" w:rsidRPr="00B80DB5" w:rsidRDefault="00162EB9" w:rsidP="00B80DB5"/>
    <w:p w:rsidR="00B80DB5" w:rsidRDefault="00B80DB5" w:rsidP="00B80DB5">
      <w:r>
        <w:t>In the CFC, Zone I corresponds to gap-graded mixtures, whereas Zone II represents and optimal grading for nominal maximum aggregate sizes of 0.75 –in to 2.0-in.  Zone III is an optimal grading for nominal maximum aggregate sizes less than 0.75-in.  Zone IV represents combined gradings with excessive fines whereas a grading falling into Zone V has excessive coarse aggregate.</w:t>
      </w:r>
    </w:p>
    <w:p w:rsidR="00B80DB5" w:rsidRDefault="00B80DB5" w:rsidP="00B80DB5"/>
    <w:p w:rsidR="00B80DB5" w:rsidRDefault="00B80DB5" w:rsidP="00B80DB5">
      <w:r>
        <w:t xml:space="preserve">The use of the 0.45 power chart has already been discussed under </w:t>
      </w:r>
      <w:r w:rsidR="002D59F3">
        <w:t>asphalt mixtures</w:t>
      </w:r>
      <w:r>
        <w:t>.  Gradings that plot close to the line are close to the maximum possible density.</w:t>
      </w:r>
    </w:p>
    <w:p w:rsidR="00B80DB5" w:rsidRDefault="00B80DB5" w:rsidP="006F33A8"/>
    <w:p w:rsidR="004774B9" w:rsidRDefault="004774B9" w:rsidP="006F33A8">
      <w:r>
        <w:t xml:space="preserve">It is often stated that the PARC should not be used to establish grading requirements in a specification, but instead is a tool to keep the individual percent retained on each sieves from one size less than the nominal maximum aggregate size to the No. 30 sieve between 8 and 18 percent, and below 18 percent for all sieve sizes.  The aggregate gradation is plotted to determine if gaps exist in the intermediate aggregate sizes between the 3/8-in and No. 8 sieve.  Gaps are identified when a significant valley is observed, composed of deficiencies on three or more successive sieves or if the sum of the percentages retained on two adjacent sieves is less than 13 percent.  </w:t>
      </w:r>
    </w:p>
    <w:p w:rsidR="004774B9" w:rsidRDefault="004774B9" w:rsidP="006F33A8"/>
    <w:p w:rsidR="004774B9" w:rsidRDefault="004774B9" w:rsidP="006F33A8">
      <w:r>
        <w:t>A number of SHA, as well as other transportation agencies, have adopted some elements of the optimized aggregate gradation approach for specifying concrete mixtures.</w:t>
      </w:r>
    </w:p>
    <w:p w:rsidR="004774B9" w:rsidRPr="00CD6662" w:rsidRDefault="004774B9" w:rsidP="006F33A8"/>
    <w:p w:rsidR="004774B9" w:rsidRDefault="004774B9" w:rsidP="006F33A8">
      <w:r>
        <w:t>The most desirable fine-aggregate grading will depend upon the type of work, the paste content, and the size of the coarse aggregate.  For leaner mixtures, a finer sand is desirable for workability whereas coarser sands provide better economy with richer mixtures (</w:t>
      </w:r>
      <w:r w:rsidR="006F6E9A">
        <w:t>Kosmatka, Kerkhoff, and Panarese</w:t>
      </w:r>
      <w:r>
        <w:t xml:space="preserve"> 2002).</w:t>
      </w:r>
    </w:p>
    <w:p w:rsidR="004774B9" w:rsidRDefault="004774B9" w:rsidP="006F33A8"/>
    <w:p w:rsidR="004774B9" w:rsidRDefault="003B7DCA" w:rsidP="003B7DCA">
      <w:pPr>
        <w:pStyle w:val="Heading5"/>
      </w:pPr>
      <w:r>
        <w:t>A</w:t>
      </w:r>
      <w:r w:rsidR="004774B9">
        <w:t>ir Content</w:t>
      </w:r>
    </w:p>
    <w:p w:rsidR="004774B9" w:rsidRDefault="004774B9" w:rsidP="006F33A8">
      <w:r>
        <w:t xml:space="preserve">The requirements for various exposure conditions and coarse aggregate size can be plotted as shown in </w:t>
      </w:r>
      <w:r w:rsidR="00F11FDC">
        <w:t>Figure 3-33.</w:t>
      </w:r>
      <w:r w:rsidR="003B7DCA">
        <w:t xml:space="preserve">  </w:t>
      </w:r>
      <w:r>
        <w:t>It is recommended that specifications required that the delivered total air be between -1 percent and +2 percent of the target air for moderate and severe exposure.</w:t>
      </w:r>
    </w:p>
    <w:p w:rsidR="004774B9" w:rsidRDefault="004774B9" w:rsidP="004774B9">
      <w:pPr>
        <w:rPr>
          <w:spacing w:val="-2"/>
        </w:rPr>
      </w:pPr>
    </w:p>
    <w:p w:rsidR="003B7DCA" w:rsidRDefault="003B7DCA" w:rsidP="003B7DCA"/>
    <w:p w:rsidR="004774B9" w:rsidRPr="0045767A" w:rsidRDefault="004774B9" w:rsidP="004774B9">
      <w:pPr>
        <w:adjustRightInd w:val="0"/>
        <w:ind w:left="1080"/>
        <w:jc w:val="center"/>
        <w:rPr>
          <w:spacing w:val="-2"/>
        </w:rPr>
      </w:pPr>
      <w:r>
        <w:rPr>
          <w:noProof/>
          <w:spacing w:val="-2"/>
        </w:rPr>
        <w:drawing>
          <wp:inline distT="0" distB="0" distL="0" distR="0">
            <wp:extent cx="3609975" cy="3409950"/>
            <wp:effectExtent l="19050" t="0" r="9525" b="0"/>
            <wp:docPr id="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cstate="print"/>
                    <a:srcRect/>
                    <a:stretch>
                      <a:fillRect/>
                    </a:stretch>
                  </pic:blipFill>
                  <pic:spPr bwMode="auto">
                    <a:xfrm>
                      <a:off x="0" y="0"/>
                      <a:ext cx="3609975" cy="3409950"/>
                    </a:xfrm>
                    <a:prstGeom prst="rect">
                      <a:avLst/>
                    </a:prstGeom>
                    <a:noFill/>
                    <a:ln w="9525">
                      <a:noFill/>
                      <a:miter lim="800000"/>
                      <a:headEnd/>
                      <a:tailEnd/>
                    </a:ln>
                  </pic:spPr>
                </pic:pic>
              </a:graphicData>
            </a:graphic>
          </wp:inline>
        </w:drawing>
      </w:r>
    </w:p>
    <w:p w:rsidR="004774B9" w:rsidRPr="0045767A" w:rsidRDefault="003B7DCA" w:rsidP="004B4E81">
      <w:pPr>
        <w:pStyle w:val="APTechFigureCaption"/>
      </w:pPr>
      <w:bookmarkStart w:id="210" w:name="_Ref275009126"/>
      <w:bookmarkStart w:id="211" w:name="f38"/>
      <w:bookmarkStart w:id="212" w:name="_Toc295918062"/>
      <w:r>
        <w:t>Figure</w:t>
      </w:r>
      <w:bookmarkEnd w:id="210"/>
      <w:r w:rsidR="007F5E35">
        <w:t xml:space="preserve"> </w:t>
      </w:r>
      <w:bookmarkStart w:id="213" w:name="f39"/>
      <w:r w:rsidR="00F3038B">
        <w:t>3-</w:t>
      </w:r>
      <w:bookmarkEnd w:id="211"/>
      <w:bookmarkEnd w:id="213"/>
      <w:r w:rsidR="00CC4DEE">
        <w:t>3</w:t>
      </w:r>
      <w:r w:rsidR="0067340E">
        <w:t>3</w:t>
      </w:r>
      <w:r>
        <w:t xml:space="preserve">.  </w:t>
      </w:r>
      <w:r w:rsidR="004774B9">
        <w:t xml:space="preserve">Target total air content requirements for </w:t>
      </w:r>
      <w:r w:rsidR="00B55EC9">
        <w:t>concrete</w:t>
      </w:r>
      <w:r w:rsidR="004774B9">
        <w:t xml:space="preserve"> with different aggregate</w:t>
      </w:r>
      <w:r w:rsidR="006F6E9A">
        <w:br/>
      </w:r>
      <w:r w:rsidR="004774B9">
        <w:t>sizes (</w:t>
      </w:r>
      <w:r w:rsidR="00936012">
        <w:t>Kostmatka and Wilson 2011</w:t>
      </w:r>
      <w:r w:rsidR="004774B9">
        <w:t>).</w:t>
      </w:r>
      <w:bookmarkEnd w:id="212"/>
    </w:p>
    <w:p w:rsidR="004774B9" w:rsidRDefault="004774B9" w:rsidP="006F33A8"/>
    <w:p w:rsidR="00F504C5" w:rsidRDefault="00F504C5" w:rsidP="00F504C5">
      <w:pPr>
        <w:pStyle w:val="Heading5"/>
      </w:pPr>
      <w:r>
        <w:t>Slump</w:t>
      </w:r>
    </w:p>
    <w:p w:rsidR="00F504C5" w:rsidRDefault="00F504C5" w:rsidP="00F504C5">
      <w:r>
        <w:t>The concrete must be workable for the method of placement that will be used.  The specifications will often specify a range in slump or a maximum not to be exceeded.  It is common to have a specified range for slump between 0.5 in. and 1.5 in. for slipform concrete pavement and as high as 6 in. or more for concrete to be placed by pumping.  With the modern use of WRAs, the slump is no longer directly linked to water content in the mixture.</w:t>
      </w:r>
    </w:p>
    <w:p w:rsidR="00F504C5" w:rsidRPr="00CD6662" w:rsidRDefault="00F504C5" w:rsidP="006F33A8"/>
    <w:p w:rsidR="004774B9" w:rsidRDefault="004774B9" w:rsidP="003B7DCA">
      <w:pPr>
        <w:pStyle w:val="Heading5"/>
      </w:pPr>
      <w:r>
        <w:t xml:space="preserve">Water </w:t>
      </w:r>
      <w:r w:rsidR="003B7DCA">
        <w:t>C</w:t>
      </w:r>
      <w:r>
        <w:t xml:space="preserve">ontent </w:t>
      </w:r>
    </w:p>
    <w:p w:rsidR="004774B9" w:rsidRPr="003B7DCA" w:rsidRDefault="004774B9" w:rsidP="006F33A8">
      <w:r>
        <w:t xml:space="preserve">Water demand is affected by aggregate size, aggregate shape, aggregate texture, slump, </w:t>
      </w:r>
      <w:r w:rsidRPr="00C908A6">
        <w:rPr>
          <w:i/>
        </w:rPr>
        <w:t>w/cm</w:t>
      </w:r>
      <w:r>
        <w:t xml:space="preserve">, air content, cementitious material types and content, admixtures, and environmental conditions.  Traditionally, the water content of the mixture was estimated based on slump, coarse aggregate size and air content, as well as the shape of the aggregate.  Again, with the use of modern WRAs, it is not necessary to directly link water content to workability.  Thus much of the past emphasis on how to select a design water content is no longer valid.  Instead it is far more common to establish a paste requirement (water and cementitious materials) needed for the selected aggregate structure which provided the needed workability and required hardened concrete </w:t>
      </w:r>
      <w:r w:rsidRPr="003B7DCA">
        <w:t>properties.</w:t>
      </w:r>
    </w:p>
    <w:p w:rsidR="004774B9" w:rsidRDefault="004774B9" w:rsidP="006F33A8"/>
    <w:p w:rsidR="004774B9" w:rsidRDefault="004774B9" w:rsidP="003B7DCA">
      <w:pPr>
        <w:pStyle w:val="Heading5"/>
      </w:pPr>
      <w:r>
        <w:t xml:space="preserve">Cementitious </w:t>
      </w:r>
      <w:r w:rsidR="003B7DCA">
        <w:t>M</w:t>
      </w:r>
      <w:r>
        <w:t xml:space="preserve">aterials </w:t>
      </w:r>
      <w:r w:rsidR="003B7DCA">
        <w:t>T</w:t>
      </w:r>
      <w:r>
        <w:t xml:space="preserve">ype and </w:t>
      </w:r>
      <w:r w:rsidR="003B7DCA">
        <w:t>C</w:t>
      </w:r>
      <w:r>
        <w:t>ontent</w:t>
      </w:r>
    </w:p>
    <w:p w:rsidR="004774B9" w:rsidRPr="008A38BC" w:rsidRDefault="004774B9" w:rsidP="006902B0">
      <w:r>
        <w:t xml:space="preserve">The cementitious materials chosen will likely be a combination of portland cement and one or more SCMs.  Available hydraulic binders include those specified under AASHTO M 85, </w:t>
      </w:r>
      <w:r w:rsidR="00C84744">
        <w:t>AASHTO M240</w:t>
      </w:r>
      <w:r>
        <w:t xml:space="preserve">, and ASTM C1157.  SCMs include fly ash and natural pozzolans (AASHTO M 295), slag cement (AASHTO M 302), and silica fume (AASHTO M 321).  Currently, many SHA specifications have limits on the type and quantity of cement and SCMs that are allowed for use in </w:t>
      </w:r>
      <w:r w:rsidR="00B55EC9">
        <w:t>concrete</w:t>
      </w:r>
      <w:r>
        <w:t xml:space="preserve">.  </w:t>
      </w:r>
      <w:r w:rsidR="00D57782">
        <w:t xml:space="preserve">Examples of such limitations are shown in </w:t>
      </w:r>
      <w:r w:rsidR="00D57782" w:rsidRPr="008A38BC">
        <w:t>Table 3-21.  In addition, many have set minimum values for cement content.</w:t>
      </w:r>
    </w:p>
    <w:p w:rsidR="0067340E" w:rsidRPr="008A38BC" w:rsidRDefault="0067340E">
      <w:pPr>
        <w:rPr>
          <w:rFonts w:eastAsiaTheme="majorEastAsia" w:cs="Arial"/>
          <w:szCs w:val="22"/>
        </w:rPr>
      </w:pPr>
      <w:bookmarkStart w:id="214" w:name="_Toc275090071"/>
    </w:p>
    <w:p w:rsidR="00D57782" w:rsidRDefault="00D57782" w:rsidP="00D57782">
      <w:pPr>
        <w:pStyle w:val="Heading9"/>
      </w:pPr>
      <w:r w:rsidRPr="008A38BC">
        <w:t>Table 3-21.  Recommended cementitious ma</w:t>
      </w:r>
      <w:r>
        <w:t>terials for concrete exposed to deicing chemicals (Kosmatka, Kerkhoff, and Panarese 2002, adapted from ACI 2008b).</w:t>
      </w:r>
      <w:bookmarkEnd w:id="214"/>
    </w:p>
    <w:tbl>
      <w:tblPr>
        <w:tblStyle w:val="TableGrid"/>
        <w:tblW w:w="0" w:type="auto"/>
        <w:jc w:val="center"/>
        <w:tblLook w:val="04A0" w:firstRow="1" w:lastRow="0" w:firstColumn="1" w:lastColumn="0" w:noHBand="0" w:noVBand="1"/>
      </w:tblPr>
      <w:tblGrid>
        <w:gridCol w:w="4176"/>
        <w:gridCol w:w="2592"/>
      </w:tblGrid>
      <w:tr w:rsidR="00D57782" w:rsidRPr="003B7DCA" w:rsidTr="0067340E">
        <w:trPr>
          <w:jc w:val="center"/>
        </w:trPr>
        <w:tc>
          <w:tcPr>
            <w:tcW w:w="4176" w:type="dxa"/>
            <w:tcBorders>
              <w:top w:val="double" w:sz="4" w:space="0" w:color="auto"/>
              <w:left w:val="double" w:sz="4" w:space="0" w:color="auto"/>
              <w:bottom w:val="double" w:sz="4" w:space="0" w:color="auto"/>
            </w:tcBorders>
            <w:vAlign w:val="center"/>
          </w:tcPr>
          <w:p w:rsidR="00D57782" w:rsidRPr="003B7DCA" w:rsidRDefault="00D57782" w:rsidP="0067340E">
            <w:pPr>
              <w:jc w:val="center"/>
              <w:rPr>
                <w:b/>
              </w:rPr>
            </w:pPr>
            <w:r w:rsidRPr="003B7DCA">
              <w:rPr>
                <w:b/>
              </w:rPr>
              <w:t>Cementitious Materials</w:t>
            </w:r>
            <w:r w:rsidRPr="003B7DCA">
              <w:rPr>
                <w:b/>
                <w:vertAlign w:val="superscript"/>
              </w:rPr>
              <w:t>1</w:t>
            </w:r>
          </w:p>
        </w:tc>
        <w:tc>
          <w:tcPr>
            <w:tcW w:w="2592" w:type="dxa"/>
            <w:tcBorders>
              <w:top w:val="double" w:sz="4" w:space="0" w:color="auto"/>
              <w:bottom w:val="double" w:sz="4" w:space="0" w:color="auto"/>
              <w:right w:val="double" w:sz="4" w:space="0" w:color="auto"/>
            </w:tcBorders>
            <w:vAlign w:val="center"/>
          </w:tcPr>
          <w:p w:rsidR="00D57782" w:rsidRPr="003B7DCA" w:rsidRDefault="00D57782" w:rsidP="0067340E">
            <w:pPr>
              <w:jc w:val="center"/>
              <w:rPr>
                <w:b/>
              </w:rPr>
            </w:pPr>
            <w:r w:rsidRPr="003B7DCA">
              <w:rPr>
                <w:b/>
              </w:rPr>
              <w:t>Maximum Percent of Total Cementitious Materials by Mass</w:t>
            </w:r>
            <w:r w:rsidRPr="003B7DCA">
              <w:rPr>
                <w:b/>
                <w:vertAlign w:val="superscript"/>
              </w:rPr>
              <w:t>2</w:t>
            </w:r>
          </w:p>
        </w:tc>
      </w:tr>
      <w:tr w:rsidR="00D57782" w:rsidTr="0067340E">
        <w:trPr>
          <w:jc w:val="center"/>
        </w:trPr>
        <w:tc>
          <w:tcPr>
            <w:tcW w:w="4176" w:type="dxa"/>
            <w:tcBorders>
              <w:top w:val="double" w:sz="4" w:space="0" w:color="auto"/>
              <w:left w:val="double" w:sz="4" w:space="0" w:color="auto"/>
            </w:tcBorders>
          </w:tcPr>
          <w:p w:rsidR="00D57782" w:rsidRDefault="00D57782" w:rsidP="0067340E">
            <w:r>
              <w:t>Fly ash and natural pozzolans</w:t>
            </w:r>
          </w:p>
        </w:tc>
        <w:tc>
          <w:tcPr>
            <w:tcW w:w="2592" w:type="dxa"/>
            <w:tcBorders>
              <w:top w:val="double" w:sz="4" w:space="0" w:color="auto"/>
              <w:right w:val="double" w:sz="4" w:space="0" w:color="auto"/>
            </w:tcBorders>
            <w:vAlign w:val="center"/>
          </w:tcPr>
          <w:p w:rsidR="00D57782" w:rsidRDefault="00D57782" w:rsidP="0067340E">
            <w:pPr>
              <w:jc w:val="center"/>
            </w:pPr>
            <w:r>
              <w:t>25</w:t>
            </w:r>
          </w:p>
        </w:tc>
      </w:tr>
      <w:tr w:rsidR="00D57782" w:rsidTr="0067340E">
        <w:trPr>
          <w:jc w:val="center"/>
        </w:trPr>
        <w:tc>
          <w:tcPr>
            <w:tcW w:w="4176" w:type="dxa"/>
            <w:tcBorders>
              <w:left w:val="double" w:sz="4" w:space="0" w:color="auto"/>
            </w:tcBorders>
          </w:tcPr>
          <w:p w:rsidR="00D57782" w:rsidRDefault="00D57782" w:rsidP="0067340E">
            <w:r>
              <w:t>Slag</w:t>
            </w:r>
          </w:p>
        </w:tc>
        <w:tc>
          <w:tcPr>
            <w:tcW w:w="2592" w:type="dxa"/>
            <w:tcBorders>
              <w:right w:val="double" w:sz="4" w:space="0" w:color="auto"/>
            </w:tcBorders>
            <w:vAlign w:val="center"/>
          </w:tcPr>
          <w:p w:rsidR="00D57782" w:rsidRDefault="00D57782" w:rsidP="0067340E">
            <w:pPr>
              <w:jc w:val="center"/>
            </w:pPr>
            <w:r>
              <w:t>50</w:t>
            </w:r>
          </w:p>
        </w:tc>
      </w:tr>
      <w:tr w:rsidR="00D57782" w:rsidTr="0067340E">
        <w:trPr>
          <w:jc w:val="center"/>
        </w:trPr>
        <w:tc>
          <w:tcPr>
            <w:tcW w:w="4176" w:type="dxa"/>
            <w:tcBorders>
              <w:left w:val="double" w:sz="4" w:space="0" w:color="auto"/>
            </w:tcBorders>
          </w:tcPr>
          <w:p w:rsidR="00D57782" w:rsidRDefault="00D57782" w:rsidP="0067340E">
            <w:r>
              <w:t>Silica fume</w:t>
            </w:r>
          </w:p>
        </w:tc>
        <w:tc>
          <w:tcPr>
            <w:tcW w:w="2592" w:type="dxa"/>
            <w:tcBorders>
              <w:right w:val="double" w:sz="4" w:space="0" w:color="auto"/>
            </w:tcBorders>
            <w:vAlign w:val="center"/>
          </w:tcPr>
          <w:p w:rsidR="00D57782" w:rsidRDefault="00D57782" w:rsidP="0067340E">
            <w:pPr>
              <w:jc w:val="center"/>
            </w:pPr>
            <w:r>
              <w:t>10</w:t>
            </w:r>
          </w:p>
        </w:tc>
      </w:tr>
      <w:tr w:rsidR="00D57782" w:rsidTr="0067340E">
        <w:trPr>
          <w:jc w:val="center"/>
        </w:trPr>
        <w:tc>
          <w:tcPr>
            <w:tcW w:w="4176" w:type="dxa"/>
            <w:tcBorders>
              <w:left w:val="double" w:sz="4" w:space="0" w:color="auto"/>
            </w:tcBorders>
          </w:tcPr>
          <w:p w:rsidR="00D57782" w:rsidRDefault="00D57782" w:rsidP="0067340E">
            <w:r>
              <w:t>Total of fly ash, slag, silica fume, and natural pozzolans</w:t>
            </w:r>
          </w:p>
        </w:tc>
        <w:tc>
          <w:tcPr>
            <w:tcW w:w="2592" w:type="dxa"/>
            <w:tcBorders>
              <w:right w:val="double" w:sz="4" w:space="0" w:color="auto"/>
            </w:tcBorders>
            <w:vAlign w:val="center"/>
          </w:tcPr>
          <w:p w:rsidR="00D57782" w:rsidRDefault="00D57782" w:rsidP="0067340E">
            <w:pPr>
              <w:jc w:val="center"/>
            </w:pPr>
            <w:r>
              <w:t>50</w:t>
            </w:r>
            <w:r w:rsidRPr="003B7DCA">
              <w:rPr>
                <w:vertAlign w:val="superscript"/>
              </w:rPr>
              <w:t>3</w:t>
            </w:r>
          </w:p>
        </w:tc>
      </w:tr>
      <w:tr w:rsidR="00D57782" w:rsidTr="0067340E">
        <w:trPr>
          <w:jc w:val="center"/>
        </w:trPr>
        <w:tc>
          <w:tcPr>
            <w:tcW w:w="4176" w:type="dxa"/>
            <w:tcBorders>
              <w:left w:val="double" w:sz="4" w:space="0" w:color="auto"/>
              <w:bottom w:val="double" w:sz="4" w:space="0" w:color="auto"/>
            </w:tcBorders>
          </w:tcPr>
          <w:p w:rsidR="00D57782" w:rsidRDefault="00D57782" w:rsidP="0067340E">
            <w:r>
              <w:t>Total of natural pozzolans and silica fume</w:t>
            </w:r>
          </w:p>
        </w:tc>
        <w:tc>
          <w:tcPr>
            <w:tcW w:w="2592" w:type="dxa"/>
            <w:tcBorders>
              <w:bottom w:val="double" w:sz="4" w:space="0" w:color="auto"/>
              <w:right w:val="double" w:sz="4" w:space="0" w:color="auto"/>
            </w:tcBorders>
            <w:vAlign w:val="center"/>
          </w:tcPr>
          <w:p w:rsidR="00D57782" w:rsidRDefault="00D57782" w:rsidP="0067340E">
            <w:pPr>
              <w:jc w:val="center"/>
            </w:pPr>
            <w:r>
              <w:t>35</w:t>
            </w:r>
            <w:r w:rsidRPr="003B7DCA">
              <w:rPr>
                <w:vertAlign w:val="superscript"/>
              </w:rPr>
              <w:t>3</w:t>
            </w:r>
          </w:p>
        </w:tc>
      </w:tr>
    </w:tbl>
    <w:p w:rsidR="00D57782" w:rsidRPr="002A1814" w:rsidRDefault="00D57782" w:rsidP="00D57782">
      <w:pPr>
        <w:ind w:left="1440" w:right="1260" w:hanging="180"/>
        <w:rPr>
          <w:sz w:val="16"/>
          <w:szCs w:val="16"/>
        </w:rPr>
      </w:pPr>
      <w:r w:rsidRPr="002A1814">
        <w:rPr>
          <w:sz w:val="16"/>
          <w:szCs w:val="16"/>
          <w:vertAlign w:val="superscript"/>
        </w:rPr>
        <w:t>1</w:t>
      </w:r>
      <w:r w:rsidRPr="002A1814">
        <w:rPr>
          <w:sz w:val="16"/>
          <w:szCs w:val="16"/>
        </w:rPr>
        <w:tab/>
        <w:t>Includes portion of supplementary cementing materials in blended cements.</w:t>
      </w:r>
    </w:p>
    <w:p w:rsidR="00D57782" w:rsidRPr="002A1814" w:rsidRDefault="00D57782" w:rsidP="00D57782">
      <w:pPr>
        <w:ind w:left="1440" w:right="1260" w:hanging="180"/>
        <w:rPr>
          <w:sz w:val="16"/>
          <w:szCs w:val="16"/>
        </w:rPr>
      </w:pPr>
      <w:r w:rsidRPr="002A1814">
        <w:rPr>
          <w:sz w:val="16"/>
          <w:szCs w:val="16"/>
          <w:vertAlign w:val="superscript"/>
        </w:rPr>
        <w:t>2</w:t>
      </w:r>
      <w:r w:rsidRPr="002A1814">
        <w:rPr>
          <w:sz w:val="16"/>
          <w:szCs w:val="16"/>
        </w:rPr>
        <w:tab/>
        <w:t>Total cementitious materials include the summation of portland cements, blended cements, fly ash, slag, silica fume, and other pozzolans.</w:t>
      </w:r>
    </w:p>
    <w:p w:rsidR="00D57782" w:rsidRDefault="00D57782" w:rsidP="00D57782">
      <w:pPr>
        <w:ind w:left="1440" w:right="1260" w:hanging="180"/>
        <w:rPr>
          <w:sz w:val="16"/>
          <w:szCs w:val="16"/>
        </w:rPr>
      </w:pPr>
      <w:r w:rsidRPr="002A1814">
        <w:rPr>
          <w:sz w:val="16"/>
          <w:szCs w:val="16"/>
          <w:vertAlign w:val="superscript"/>
        </w:rPr>
        <w:t>3</w:t>
      </w:r>
      <w:r w:rsidRPr="002A1814">
        <w:rPr>
          <w:sz w:val="16"/>
          <w:szCs w:val="16"/>
        </w:rPr>
        <w:tab/>
        <w:t>Silica fume should not constitute more than 10 percent of total cementitious materials and fly ash or other pozzolans shall not constitute more than 25 percent of cementitious materials.</w:t>
      </w:r>
    </w:p>
    <w:p w:rsidR="00D57782" w:rsidRPr="002A1814" w:rsidRDefault="00D57782" w:rsidP="00D57782">
      <w:pPr>
        <w:ind w:left="1440" w:right="1260" w:hanging="180"/>
        <w:rPr>
          <w:sz w:val="16"/>
          <w:szCs w:val="16"/>
        </w:rPr>
      </w:pPr>
      <w:r w:rsidRPr="002A1814">
        <w:rPr>
          <w:sz w:val="16"/>
          <w:szCs w:val="16"/>
        </w:rPr>
        <w:t>Adapted from ACI 318.</w:t>
      </w:r>
    </w:p>
    <w:p w:rsidR="003B7DCA" w:rsidRDefault="003B7DCA" w:rsidP="006F33A8"/>
    <w:p w:rsidR="004774B9" w:rsidRDefault="004774B9" w:rsidP="006F33A8">
      <w:r>
        <w:t xml:space="preserve">Today, these limits are widely viewed as a barrier to innovation, resulting in uneconomical and environmentally costly </w:t>
      </w:r>
      <w:r w:rsidR="00B55EC9">
        <w:t>concrete</w:t>
      </w:r>
      <w:r>
        <w:t xml:space="preserve"> mixtures.  This is the focus of continuing research, as many examples of good performing high SCM volume </w:t>
      </w:r>
      <w:r w:rsidR="00B55EC9">
        <w:t>concrete</w:t>
      </w:r>
      <w:r>
        <w:t xml:space="preserve"> mixtures exist, with even up to 70 percent of the binder not being portland cement.  It is therefore recommended that specifications be revisited to ensure that arbitrary limits set on the cementitious material type and content be revised to reflect current knowledge.</w:t>
      </w:r>
    </w:p>
    <w:p w:rsidR="004774B9" w:rsidRDefault="004774B9" w:rsidP="006F33A8"/>
    <w:p w:rsidR="004774B9" w:rsidRDefault="004774B9" w:rsidP="003B7DCA">
      <w:pPr>
        <w:pStyle w:val="Heading5"/>
      </w:pPr>
      <w:r>
        <w:t>Admixtures</w:t>
      </w:r>
    </w:p>
    <w:p w:rsidR="004774B9" w:rsidRDefault="004774B9" w:rsidP="006F33A8">
      <w:r>
        <w:t xml:space="preserve">The final mix design consideration is the admixtures to be used in the </w:t>
      </w:r>
      <w:r w:rsidR="00B55EC9">
        <w:t>concrete</w:t>
      </w:r>
      <w:r>
        <w:t xml:space="preserve">.  Specifications may require the use of AEA and WRA, and for some applications accelerators, retarders, corrosion inhibitors, ASR inhibitors, or any number of other admixtures may also be required. </w:t>
      </w:r>
      <w:r w:rsidR="00583AC9">
        <w:t xml:space="preserve"> </w:t>
      </w:r>
      <w:r>
        <w:t>In many cases, the type and amount of admixtures is left up to the concrete supplier.</w:t>
      </w:r>
    </w:p>
    <w:p w:rsidR="004774B9" w:rsidRDefault="004774B9" w:rsidP="006F33A8"/>
    <w:p w:rsidR="004774B9" w:rsidRDefault="004774B9" w:rsidP="003B7DCA">
      <w:pPr>
        <w:pStyle w:val="Heading5"/>
      </w:pPr>
      <w:r>
        <w:t>Summary</w:t>
      </w:r>
    </w:p>
    <w:p w:rsidR="004774B9" w:rsidRDefault="004774B9" w:rsidP="006F33A8">
      <w:r>
        <w:t xml:space="preserve">The mix design process establishes the required and specifiable properties of the </w:t>
      </w:r>
      <w:r w:rsidR="00B55EC9">
        <w:t>concrete</w:t>
      </w:r>
      <w:r>
        <w:t xml:space="preserve"> based on the intended application.  Prescriptive specifications define the required materials, proportions, and construction method whereas in a performance approach, the specifier identifies functional requires, relying upon the concrete producer/contractor to develop an </w:t>
      </w:r>
      <w:r w:rsidR="00B55EC9">
        <w:t>concrete</w:t>
      </w:r>
      <w:r>
        <w:t xml:space="preserve"> mixture meeting these requirements.  Today, both types of specifications are in use, and many specifications have elements of both prescriptive and performance approaches.</w:t>
      </w:r>
    </w:p>
    <w:p w:rsidR="004774B9" w:rsidRDefault="004774B9" w:rsidP="00266D9B"/>
    <w:p w:rsidR="004774B9" w:rsidRDefault="004774B9" w:rsidP="003B7DCA">
      <w:pPr>
        <w:pStyle w:val="Heading4"/>
      </w:pPr>
      <w:bookmarkStart w:id="215" w:name="_Toc295918678"/>
      <w:r>
        <w:t xml:space="preserve">Approach to </w:t>
      </w:r>
      <w:r w:rsidR="003B7DCA">
        <w:t>P</w:t>
      </w:r>
      <w:r>
        <w:t>roportioning</w:t>
      </w:r>
      <w:bookmarkEnd w:id="215"/>
    </w:p>
    <w:p w:rsidR="004774B9" w:rsidRDefault="004774B9" w:rsidP="006F33A8">
      <w:r>
        <w:t xml:space="preserve">Desktop calculation of mixture proportioning  are based on mixture volumetrics.  The most popular method is described in ACI 211.1, </w:t>
      </w:r>
      <w:r>
        <w:rPr>
          <w:i/>
        </w:rPr>
        <w:t>Standard Practice for Selecting Proportions for Normal, Heavyweight, and Mass Concrete</w:t>
      </w:r>
      <w:r>
        <w:t>.  Commonly referred to as the absolute volume method, it consists of the following nine steps:</w:t>
      </w:r>
    </w:p>
    <w:p w:rsidR="004774B9" w:rsidRDefault="004774B9" w:rsidP="006F33A8"/>
    <w:p w:rsidR="004774B9" w:rsidRDefault="004774B9" w:rsidP="005B140A">
      <w:pPr>
        <w:pStyle w:val="ListParagraph"/>
        <w:numPr>
          <w:ilvl w:val="0"/>
          <w:numId w:val="20"/>
        </w:numPr>
        <w:adjustRightInd w:val="0"/>
        <w:ind w:left="720"/>
        <w:rPr>
          <w:spacing w:val="-2"/>
        </w:rPr>
      </w:pPr>
      <w:r>
        <w:rPr>
          <w:spacing w:val="-2"/>
        </w:rPr>
        <w:t>Step 1 – Choice of slump</w:t>
      </w:r>
      <w:r w:rsidR="00DF35C4">
        <w:rPr>
          <w:spacing w:val="-2"/>
        </w:rPr>
        <w:t>.</w:t>
      </w:r>
    </w:p>
    <w:p w:rsidR="004774B9" w:rsidRDefault="004774B9" w:rsidP="005B140A">
      <w:pPr>
        <w:pStyle w:val="ListParagraph"/>
        <w:numPr>
          <w:ilvl w:val="0"/>
          <w:numId w:val="20"/>
        </w:numPr>
        <w:adjustRightInd w:val="0"/>
        <w:ind w:left="720"/>
        <w:rPr>
          <w:spacing w:val="-2"/>
        </w:rPr>
      </w:pPr>
      <w:r>
        <w:rPr>
          <w:spacing w:val="-2"/>
        </w:rPr>
        <w:t>Step 2 – Choice of maximum size of aggregate</w:t>
      </w:r>
      <w:r w:rsidR="00DF35C4">
        <w:rPr>
          <w:spacing w:val="-2"/>
        </w:rPr>
        <w:t>.</w:t>
      </w:r>
    </w:p>
    <w:p w:rsidR="004774B9" w:rsidRDefault="004774B9" w:rsidP="005B140A">
      <w:pPr>
        <w:pStyle w:val="ListParagraph"/>
        <w:numPr>
          <w:ilvl w:val="0"/>
          <w:numId w:val="20"/>
        </w:numPr>
        <w:adjustRightInd w:val="0"/>
        <w:ind w:left="720"/>
        <w:rPr>
          <w:spacing w:val="-2"/>
        </w:rPr>
      </w:pPr>
      <w:r>
        <w:rPr>
          <w:spacing w:val="-2"/>
        </w:rPr>
        <w:t>Step 3 – Estimation of mixing water and air content</w:t>
      </w:r>
      <w:r w:rsidR="00DF35C4">
        <w:rPr>
          <w:spacing w:val="-2"/>
        </w:rPr>
        <w:t>.</w:t>
      </w:r>
    </w:p>
    <w:p w:rsidR="004774B9" w:rsidRDefault="004774B9" w:rsidP="005B140A">
      <w:pPr>
        <w:pStyle w:val="ListParagraph"/>
        <w:numPr>
          <w:ilvl w:val="0"/>
          <w:numId w:val="20"/>
        </w:numPr>
        <w:adjustRightInd w:val="0"/>
        <w:ind w:left="720"/>
        <w:rPr>
          <w:spacing w:val="-2"/>
        </w:rPr>
      </w:pPr>
      <w:r>
        <w:rPr>
          <w:spacing w:val="-2"/>
        </w:rPr>
        <w:t>Step 4 – Selection of water-cement or water-cementitious ratio</w:t>
      </w:r>
      <w:r w:rsidR="00DF35C4">
        <w:rPr>
          <w:spacing w:val="-2"/>
        </w:rPr>
        <w:t>.</w:t>
      </w:r>
    </w:p>
    <w:p w:rsidR="004774B9" w:rsidRDefault="004774B9" w:rsidP="005B140A">
      <w:pPr>
        <w:pStyle w:val="ListParagraph"/>
        <w:numPr>
          <w:ilvl w:val="0"/>
          <w:numId w:val="20"/>
        </w:numPr>
        <w:adjustRightInd w:val="0"/>
        <w:ind w:left="720"/>
        <w:rPr>
          <w:spacing w:val="-2"/>
        </w:rPr>
      </w:pPr>
      <w:r>
        <w:rPr>
          <w:spacing w:val="-2"/>
        </w:rPr>
        <w:t>Step 5 – Calculation of cement content</w:t>
      </w:r>
      <w:r w:rsidR="00DF35C4">
        <w:rPr>
          <w:spacing w:val="-2"/>
        </w:rPr>
        <w:t>.</w:t>
      </w:r>
    </w:p>
    <w:p w:rsidR="004774B9" w:rsidRDefault="004774B9" w:rsidP="005B140A">
      <w:pPr>
        <w:pStyle w:val="ListParagraph"/>
        <w:numPr>
          <w:ilvl w:val="0"/>
          <w:numId w:val="20"/>
        </w:numPr>
        <w:adjustRightInd w:val="0"/>
        <w:ind w:left="720"/>
        <w:rPr>
          <w:spacing w:val="-2"/>
        </w:rPr>
      </w:pPr>
      <w:r>
        <w:rPr>
          <w:spacing w:val="-2"/>
        </w:rPr>
        <w:t>Step 6 – Estimation of coarse aggregate content</w:t>
      </w:r>
      <w:r w:rsidR="00DF35C4">
        <w:rPr>
          <w:spacing w:val="-2"/>
        </w:rPr>
        <w:t>.</w:t>
      </w:r>
    </w:p>
    <w:p w:rsidR="004774B9" w:rsidRDefault="004774B9" w:rsidP="005B140A">
      <w:pPr>
        <w:pStyle w:val="ListParagraph"/>
        <w:numPr>
          <w:ilvl w:val="0"/>
          <w:numId w:val="20"/>
        </w:numPr>
        <w:adjustRightInd w:val="0"/>
        <w:ind w:left="720"/>
        <w:rPr>
          <w:spacing w:val="-2"/>
        </w:rPr>
      </w:pPr>
      <w:r>
        <w:rPr>
          <w:spacing w:val="-2"/>
        </w:rPr>
        <w:t>Step 7 – Estimation of fine aggregate content</w:t>
      </w:r>
      <w:r w:rsidR="00DF35C4">
        <w:rPr>
          <w:spacing w:val="-2"/>
        </w:rPr>
        <w:t>.</w:t>
      </w:r>
    </w:p>
    <w:p w:rsidR="004774B9" w:rsidRDefault="004774B9" w:rsidP="005B140A">
      <w:pPr>
        <w:pStyle w:val="ListParagraph"/>
        <w:numPr>
          <w:ilvl w:val="0"/>
          <w:numId w:val="20"/>
        </w:numPr>
        <w:adjustRightInd w:val="0"/>
        <w:ind w:left="720"/>
        <w:rPr>
          <w:spacing w:val="-2"/>
        </w:rPr>
      </w:pPr>
      <w:r>
        <w:rPr>
          <w:spacing w:val="-2"/>
        </w:rPr>
        <w:t>Step 8 – Adjustments for aggregate moisture</w:t>
      </w:r>
      <w:r w:rsidR="00DF35C4">
        <w:rPr>
          <w:spacing w:val="-2"/>
        </w:rPr>
        <w:t>.</w:t>
      </w:r>
    </w:p>
    <w:p w:rsidR="004774B9" w:rsidRPr="00425E2B" w:rsidRDefault="004774B9" w:rsidP="005B140A">
      <w:pPr>
        <w:pStyle w:val="ListParagraph"/>
        <w:numPr>
          <w:ilvl w:val="0"/>
          <w:numId w:val="20"/>
        </w:numPr>
        <w:adjustRightInd w:val="0"/>
        <w:ind w:left="720"/>
        <w:rPr>
          <w:spacing w:val="-2"/>
        </w:rPr>
      </w:pPr>
      <w:r>
        <w:rPr>
          <w:spacing w:val="-2"/>
        </w:rPr>
        <w:t>Step 9 – Trial batch adjustments</w:t>
      </w:r>
      <w:r w:rsidR="00DF35C4">
        <w:rPr>
          <w:spacing w:val="-2"/>
        </w:rPr>
        <w:t>.</w:t>
      </w:r>
    </w:p>
    <w:p w:rsidR="004774B9" w:rsidRDefault="004774B9" w:rsidP="006F33A8"/>
    <w:p w:rsidR="004774B9" w:rsidRDefault="004774B9" w:rsidP="006F33A8">
      <w:r>
        <w:t xml:space="preserve">A similar process is described by </w:t>
      </w:r>
      <w:r w:rsidR="006F6E9A">
        <w:t>Kosmatka, Kerkhoff, and Panarese</w:t>
      </w:r>
      <w:r>
        <w:t xml:space="preserve"> (2002), except it uses the following twelve step process:</w:t>
      </w:r>
    </w:p>
    <w:p w:rsidR="004774B9" w:rsidRDefault="004774B9" w:rsidP="006F33A8"/>
    <w:p w:rsidR="004774B9" w:rsidRDefault="004774B9" w:rsidP="005B140A">
      <w:pPr>
        <w:pStyle w:val="ListParagraph"/>
        <w:numPr>
          <w:ilvl w:val="0"/>
          <w:numId w:val="20"/>
        </w:numPr>
        <w:adjustRightInd w:val="0"/>
        <w:ind w:left="720"/>
        <w:rPr>
          <w:spacing w:val="-2"/>
        </w:rPr>
      </w:pPr>
      <w:r>
        <w:rPr>
          <w:spacing w:val="-2"/>
        </w:rPr>
        <w:t>Step 1 – Select design strength</w:t>
      </w:r>
    </w:p>
    <w:p w:rsidR="004774B9" w:rsidRDefault="004774B9" w:rsidP="005B140A">
      <w:pPr>
        <w:pStyle w:val="ListParagraph"/>
        <w:numPr>
          <w:ilvl w:val="0"/>
          <w:numId w:val="20"/>
        </w:numPr>
        <w:adjustRightInd w:val="0"/>
        <w:ind w:left="720"/>
        <w:rPr>
          <w:spacing w:val="-2"/>
        </w:rPr>
      </w:pPr>
      <w:r>
        <w:rPr>
          <w:spacing w:val="-2"/>
        </w:rPr>
        <w:t>Step 2 – Select water-to-cementitious ratio</w:t>
      </w:r>
    </w:p>
    <w:p w:rsidR="004774B9" w:rsidRDefault="004774B9" w:rsidP="005B140A">
      <w:pPr>
        <w:pStyle w:val="ListParagraph"/>
        <w:numPr>
          <w:ilvl w:val="0"/>
          <w:numId w:val="20"/>
        </w:numPr>
        <w:adjustRightInd w:val="0"/>
        <w:ind w:left="720"/>
        <w:rPr>
          <w:spacing w:val="-2"/>
        </w:rPr>
      </w:pPr>
      <w:r>
        <w:rPr>
          <w:spacing w:val="-2"/>
        </w:rPr>
        <w:t>Step 3 – Select air content</w:t>
      </w:r>
    </w:p>
    <w:p w:rsidR="004774B9" w:rsidRDefault="004774B9" w:rsidP="005B140A">
      <w:pPr>
        <w:pStyle w:val="ListParagraph"/>
        <w:numPr>
          <w:ilvl w:val="0"/>
          <w:numId w:val="20"/>
        </w:numPr>
        <w:adjustRightInd w:val="0"/>
        <w:ind w:left="720"/>
        <w:rPr>
          <w:spacing w:val="-2"/>
        </w:rPr>
      </w:pPr>
      <w:r>
        <w:rPr>
          <w:spacing w:val="-2"/>
        </w:rPr>
        <w:t>Step 4 – Select slump</w:t>
      </w:r>
    </w:p>
    <w:p w:rsidR="004774B9" w:rsidRDefault="004774B9" w:rsidP="005B140A">
      <w:pPr>
        <w:pStyle w:val="ListParagraph"/>
        <w:numPr>
          <w:ilvl w:val="0"/>
          <w:numId w:val="20"/>
        </w:numPr>
        <w:adjustRightInd w:val="0"/>
        <w:ind w:left="720"/>
        <w:rPr>
          <w:spacing w:val="-2"/>
        </w:rPr>
      </w:pPr>
      <w:r>
        <w:rPr>
          <w:spacing w:val="-2"/>
        </w:rPr>
        <w:t>Step 5 – Select water content</w:t>
      </w:r>
    </w:p>
    <w:p w:rsidR="004774B9" w:rsidRDefault="004774B9" w:rsidP="005B140A">
      <w:pPr>
        <w:pStyle w:val="ListParagraph"/>
        <w:numPr>
          <w:ilvl w:val="0"/>
          <w:numId w:val="20"/>
        </w:numPr>
        <w:adjustRightInd w:val="0"/>
        <w:ind w:left="720"/>
        <w:rPr>
          <w:spacing w:val="-2"/>
        </w:rPr>
      </w:pPr>
      <w:r>
        <w:rPr>
          <w:spacing w:val="-2"/>
        </w:rPr>
        <w:t>Step 6 – Calculate cement content</w:t>
      </w:r>
    </w:p>
    <w:p w:rsidR="004774B9" w:rsidRDefault="004774B9" w:rsidP="005B140A">
      <w:pPr>
        <w:pStyle w:val="ListParagraph"/>
        <w:numPr>
          <w:ilvl w:val="0"/>
          <w:numId w:val="20"/>
        </w:numPr>
        <w:adjustRightInd w:val="0"/>
        <w:ind w:left="720"/>
        <w:rPr>
          <w:spacing w:val="-2"/>
        </w:rPr>
      </w:pPr>
      <w:r>
        <w:rPr>
          <w:spacing w:val="-2"/>
        </w:rPr>
        <w:t>Step 7 – Estimate coarse aggregate content</w:t>
      </w:r>
    </w:p>
    <w:p w:rsidR="004774B9" w:rsidRDefault="004774B9" w:rsidP="005B140A">
      <w:pPr>
        <w:pStyle w:val="ListParagraph"/>
        <w:numPr>
          <w:ilvl w:val="0"/>
          <w:numId w:val="20"/>
        </w:numPr>
        <w:adjustRightInd w:val="0"/>
        <w:ind w:left="720"/>
        <w:rPr>
          <w:spacing w:val="-2"/>
        </w:rPr>
      </w:pPr>
      <w:r>
        <w:rPr>
          <w:spacing w:val="-2"/>
        </w:rPr>
        <w:t>Step 8 – Estimate admixture contents</w:t>
      </w:r>
    </w:p>
    <w:p w:rsidR="004774B9" w:rsidRDefault="004774B9" w:rsidP="005B140A">
      <w:pPr>
        <w:pStyle w:val="ListParagraph"/>
        <w:numPr>
          <w:ilvl w:val="0"/>
          <w:numId w:val="20"/>
        </w:numPr>
        <w:adjustRightInd w:val="0"/>
        <w:ind w:left="720"/>
        <w:rPr>
          <w:spacing w:val="-2"/>
        </w:rPr>
      </w:pPr>
      <w:r>
        <w:rPr>
          <w:spacing w:val="-2"/>
        </w:rPr>
        <w:t>Step 9 – Calculate fine aggregate content</w:t>
      </w:r>
    </w:p>
    <w:p w:rsidR="004774B9" w:rsidRDefault="004774B9" w:rsidP="005B140A">
      <w:pPr>
        <w:pStyle w:val="ListParagraph"/>
        <w:numPr>
          <w:ilvl w:val="0"/>
          <w:numId w:val="20"/>
        </w:numPr>
        <w:adjustRightInd w:val="0"/>
        <w:ind w:left="720"/>
        <w:rPr>
          <w:spacing w:val="-2"/>
        </w:rPr>
      </w:pPr>
      <w:r>
        <w:rPr>
          <w:spacing w:val="-2"/>
        </w:rPr>
        <w:t>Step 10 – Adjust for aggregate moisture</w:t>
      </w:r>
    </w:p>
    <w:p w:rsidR="004774B9" w:rsidRDefault="004774B9" w:rsidP="005B140A">
      <w:pPr>
        <w:pStyle w:val="ListParagraph"/>
        <w:numPr>
          <w:ilvl w:val="0"/>
          <w:numId w:val="20"/>
        </w:numPr>
        <w:adjustRightInd w:val="0"/>
        <w:ind w:left="720"/>
        <w:rPr>
          <w:spacing w:val="-2"/>
        </w:rPr>
      </w:pPr>
      <w:r>
        <w:rPr>
          <w:spacing w:val="-2"/>
        </w:rPr>
        <w:t>Step 11 – Make trial batch</w:t>
      </w:r>
    </w:p>
    <w:p w:rsidR="004774B9" w:rsidRPr="00425E2B" w:rsidRDefault="004774B9" w:rsidP="005B140A">
      <w:pPr>
        <w:pStyle w:val="ListParagraph"/>
        <w:numPr>
          <w:ilvl w:val="0"/>
          <w:numId w:val="20"/>
        </w:numPr>
        <w:adjustRightInd w:val="0"/>
        <w:ind w:left="720"/>
        <w:rPr>
          <w:spacing w:val="-2"/>
        </w:rPr>
      </w:pPr>
      <w:r>
        <w:rPr>
          <w:spacing w:val="-2"/>
        </w:rPr>
        <w:t>Step 12 – Adjust for trial batch</w:t>
      </w:r>
    </w:p>
    <w:p w:rsidR="004774B9" w:rsidRDefault="004774B9" w:rsidP="006F33A8"/>
    <w:p w:rsidR="004774B9" w:rsidRDefault="004774B9" w:rsidP="006F33A8">
      <w:r>
        <w:t xml:space="preserve">In both methods, as well as others, the mixture is systematically constructed using mass-volume relationships.  Factors such as strength and required </w:t>
      </w:r>
      <w:r w:rsidRPr="004E5CD8">
        <w:rPr>
          <w:i/>
        </w:rPr>
        <w:t>w/cm</w:t>
      </w:r>
      <w:r>
        <w:t xml:space="preserve"> and air content for durability are chosen, as is the desired workability (slump).  The water content required for workability is used to estimate the cement content. </w:t>
      </w:r>
      <w:r w:rsidR="004E6318">
        <w:t xml:space="preserve"> </w:t>
      </w:r>
      <w:r>
        <w:t>The aggregate structure is filled in, starting with the coarse aggregate, with the remainder of the volume being filled with fine aggregate.  The mixture is then adjusted for the water content in the aggregate.</w:t>
      </w:r>
    </w:p>
    <w:p w:rsidR="004774B9" w:rsidRDefault="004774B9" w:rsidP="006F33A8"/>
    <w:p w:rsidR="004774B9" w:rsidRPr="00EE09A3" w:rsidRDefault="004774B9" w:rsidP="006F33A8">
      <w:r>
        <w:t>An essential feature in both methods in the need for trial batches to adjust the desktop calculations to the reality of working with real materials (</w:t>
      </w:r>
      <w:hyperlink r:id="rId116" w:history="1">
        <w:r w:rsidRPr="00C34073">
          <w:rPr>
            <w:rStyle w:val="Hyperlink"/>
          </w:rPr>
          <w:t>Taylor et al. 2006</w:t>
        </w:r>
      </w:hyperlink>
      <w:r>
        <w:t xml:space="preserve">).  Laboratory mixtures should be made with the materials that will actually be used in production, and field conditions should be anticipated and evaluated in the laboratory before the start of production.  It is particularly important to evaluate mixtures over the full range in anticipated temperatures.  In the course of the project, as materials change, the mixture should be re-evaluated to determine if incompatibilities may exist.  A suggested laboratory testing plan is presented in </w:t>
      </w:r>
      <w:r w:rsidR="00F64A96">
        <w:t xml:space="preserve">Table </w:t>
      </w:r>
      <w:r w:rsidR="00A806A8">
        <w:t>3-22</w:t>
      </w:r>
      <w:r>
        <w:t>.</w:t>
      </w:r>
    </w:p>
    <w:p w:rsidR="004774B9" w:rsidRDefault="004774B9" w:rsidP="006F33A8"/>
    <w:p w:rsidR="004774B9" w:rsidRPr="00BB51C6" w:rsidRDefault="004774B9" w:rsidP="006F33A8">
      <w:r>
        <w:t>Following a thorough laboratory testing program, field trials using the actual project concrete batching and placement techniques should be conducted for large projects.  Suggested field trial batch testing plan is presented in</w:t>
      </w:r>
      <w:r w:rsidR="00C11CBD">
        <w:t xml:space="preserve"> </w:t>
      </w:r>
      <w:r w:rsidR="00A806A8">
        <w:t>Table 3-23</w:t>
      </w:r>
      <w:r w:rsidR="00C11CBD">
        <w:t>.</w:t>
      </w:r>
    </w:p>
    <w:p w:rsidR="00FA1A5E" w:rsidRDefault="00FA1A5E">
      <w:pPr>
        <w:rPr>
          <w:bCs/>
          <w:szCs w:val="18"/>
        </w:rPr>
      </w:pPr>
      <w:bookmarkStart w:id="216" w:name="_Toc295918129"/>
      <w:r>
        <w:br w:type="page"/>
      </w:r>
    </w:p>
    <w:p w:rsidR="004774B9" w:rsidRPr="00BB51C6" w:rsidRDefault="004E6318" w:rsidP="004E6318">
      <w:pPr>
        <w:pStyle w:val="Caption"/>
        <w:keepNext/>
        <w:rPr>
          <w:spacing w:val="-2"/>
        </w:rPr>
      </w:pPr>
      <w:r>
        <w:t>Table</w:t>
      </w:r>
      <w:r w:rsidR="00C11CBD">
        <w:t xml:space="preserve"> </w:t>
      </w:r>
      <w:bookmarkStart w:id="217" w:name="t22"/>
      <w:r w:rsidR="00F64A96">
        <w:t>3-</w:t>
      </w:r>
      <w:bookmarkEnd w:id="217"/>
      <w:r w:rsidR="008A38BC">
        <w:t>22</w:t>
      </w:r>
      <w:r>
        <w:t xml:space="preserve">.  </w:t>
      </w:r>
      <w:r w:rsidR="004774B9">
        <w:rPr>
          <w:spacing w:val="-2"/>
        </w:rPr>
        <w:t>Suggested laboratory testing plan for trial batches (</w:t>
      </w:r>
      <w:hyperlink r:id="rId117" w:history="1">
        <w:r w:rsidR="004774B9" w:rsidRPr="00C34073">
          <w:rPr>
            <w:rStyle w:val="Hyperlink"/>
            <w:spacing w:val="-2"/>
          </w:rPr>
          <w:t>Taylor et al. 2006</w:t>
        </w:r>
      </w:hyperlink>
      <w:r w:rsidR="004774B9">
        <w:rPr>
          <w:spacing w:val="-2"/>
        </w:rPr>
        <w:t>).</w:t>
      </w:r>
      <w:bookmarkEnd w:id="21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8"/>
        <w:gridCol w:w="1260"/>
        <w:gridCol w:w="2520"/>
        <w:gridCol w:w="2700"/>
        <w:gridCol w:w="2398"/>
      </w:tblGrid>
      <w:tr w:rsidR="00ED0E75" w:rsidTr="00ED0E75">
        <w:tc>
          <w:tcPr>
            <w:tcW w:w="1858" w:type="dxa"/>
            <w:gridSpan w:val="2"/>
            <w:tcBorders>
              <w:top w:val="single" w:sz="18" w:space="0" w:color="000000"/>
              <w:bottom w:val="single" w:sz="4" w:space="0" w:color="000000"/>
            </w:tcBorders>
            <w:tcMar>
              <w:top w:w="43" w:type="dxa"/>
              <w:left w:w="58" w:type="dxa"/>
              <w:bottom w:w="43" w:type="dxa"/>
              <w:right w:w="58" w:type="dxa"/>
            </w:tcMar>
          </w:tcPr>
          <w:p w:rsidR="00ED0E75" w:rsidRPr="00ED0E75" w:rsidRDefault="00ED0E75" w:rsidP="004E6318">
            <w:pPr>
              <w:jc w:val="center"/>
              <w:rPr>
                <w:b/>
                <w:sz w:val="20"/>
              </w:rPr>
            </w:pPr>
            <w:r w:rsidRPr="00ED0E75">
              <w:rPr>
                <w:b/>
                <w:sz w:val="20"/>
              </w:rPr>
              <w:t>Concrete property</w:t>
            </w:r>
          </w:p>
        </w:tc>
        <w:tc>
          <w:tcPr>
            <w:tcW w:w="2520" w:type="dxa"/>
            <w:tcBorders>
              <w:top w:val="single" w:sz="18" w:space="0" w:color="000000"/>
              <w:bottom w:val="single" w:sz="4" w:space="0" w:color="000000"/>
            </w:tcBorders>
            <w:tcMar>
              <w:top w:w="43" w:type="dxa"/>
              <w:left w:w="58" w:type="dxa"/>
              <w:bottom w:w="43" w:type="dxa"/>
              <w:right w:w="58" w:type="dxa"/>
            </w:tcMar>
          </w:tcPr>
          <w:p w:rsidR="00ED0E75" w:rsidRPr="00ED0E75" w:rsidRDefault="00ED0E75" w:rsidP="004E6318">
            <w:pPr>
              <w:jc w:val="center"/>
              <w:rPr>
                <w:b/>
                <w:sz w:val="20"/>
              </w:rPr>
            </w:pPr>
            <w:r w:rsidRPr="00ED0E75">
              <w:rPr>
                <w:b/>
                <w:sz w:val="20"/>
              </w:rPr>
              <w:t>Test description</w:t>
            </w:r>
          </w:p>
        </w:tc>
        <w:tc>
          <w:tcPr>
            <w:tcW w:w="2700" w:type="dxa"/>
            <w:tcBorders>
              <w:top w:val="single" w:sz="18" w:space="0" w:color="000000"/>
              <w:bottom w:val="single" w:sz="4" w:space="0" w:color="000000"/>
            </w:tcBorders>
            <w:tcMar>
              <w:top w:w="43" w:type="dxa"/>
              <w:left w:w="58" w:type="dxa"/>
              <w:bottom w:w="43" w:type="dxa"/>
              <w:right w:w="58" w:type="dxa"/>
            </w:tcMar>
          </w:tcPr>
          <w:p w:rsidR="00ED0E75" w:rsidRPr="00ED0E75" w:rsidRDefault="00ED0E75" w:rsidP="004E6318">
            <w:pPr>
              <w:jc w:val="center"/>
              <w:rPr>
                <w:b/>
                <w:sz w:val="20"/>
              </w:rPr>
            </w:pPr>
            <w:r w:rsidRPr="00ED0E75">
              <w:rPr>
                <w:b/>
                <w:sz w:val="20"/>
              </w:rPr>
              <w:t>Test method</w:t>
            </w:r>
          </w:p>
        </w:tc>
        <w:tc>
          <w:tcPr>
            <w:tcW w:w="2398" w:type="dxa"/>
            <w:tcBorders>
              <w:top w:val="single" w:sz="18" w:space="0" w:color="000000"/>
              <w:bottom w:val="single" w:sz="4" w:space="0" w:color="000000"/>
            </w:tcBorders>
            <w:tcMar>
              <w:top w:w="43" w:type="dxa"/>
              <w:left w:w="58" w:type="dxa"/>
              <w:bottom w:w="43" w:type="dxa"/>
              <w:right w:w="58" w:type="dxa"/>
            </w:tcMar>
          </w:tcPr>
          <w:p w:rsidR="00ED0E75" w:rsidRPr="00ED0E75" w:rsidRDefault="00ED0E75" w:rsidP="004E6318">
            <w:pPr>
              <w:jc w:val="center"/>
              <w:rPr>
                <w:b/>
                <w:sz w:val="20"/>
              </w:rPr>
            </w:pPr>
            <w:r w:rsidRPr="00ED0E75">
              <w:rPr>
                <w:b/>
                <w:sz w:val="20"/>
              </w:rPr>
              <w:t>Comments</w:t>
            </w:r>
          </w:p>
        </w:tc>
      </w:tr>
      <w:tr w:rsidR="00ED0E75" w:rsidTr="00ED0E75">
        <w:tc>
          <w:tcPr>
            <w:tcW w:w="1858" w:type="dxa"/>
            <w:gridSpan w:val="2"/>
            <w:tcBorders>
              <w:top w:val="single" w:sz="4" w:space="0" w:color="000000"/>
            </w:tcBorders>
            <w:tcMar>
              <w:top w:w="43" w:type="dxa"/>
              <w:left w:w="58" w:type="dxa"/>
              <w:bottom w:w="43" w:type="dxa"/>
              <w:right w:w="58" w:type="dxa"/>
            </w:tcMar>
          </w:tcPr>
          <w:p w:rsidR="00ED0E75" w:rsidRPr="00ED0E75" w:rsidRDefault="00ED0E75" w:rsidP="00ED0E75">
            <w:pPr>
              <w:rPr>
                <w:b/>
                <w:sz w:val="20"/>
              </w:rPr>
            </w:pPr>
            <w:r w:rsidRPr="00ED0E75">
              <w:rPr>
                <w:b/>
                <w:sz w:val="20"/>
              </w:rPr>
              <w:t>Workability</w:t>
            </w:r>
          </w:p>
        </w:tc>
        <w:tc>
          <w:tcPr>
            <w:tcW w:w="2520" w:type="dxa"/>
            <w:tcBorders>
              <w:top w:val="single" w:sz="4" w:space="0" w:color="000000"/>
            </w:tcBorders>
            <w:tcMar>
              <w:top w:w="43" w:type="dxa"/>
              <w:left w:w="58" w:type="dxa"/>
              <w:bottom w:w="43" w:type="dxa"/>
              <w:right w:w="58" w:type="dxa"/>
            </w:tcMar>
          </w:tcPr>
          <w:p w:rsidR="00ED0E75" w:rsidRPr="00ED0E75" w:rsidRDefault="00ED0E75" w:rsidP="00ED0E75">
            <w:pPr>
              <w:rPr>
                <w:sz w:val="20"/>
              </w:rPr>
            </w:pPr>
            <w:r w:rsidRPr="00ED0E75">
              <w:rPr>
                <w:sz w:val="20"/>
              </w:rPr>
              <w:t>Slump at 0, 5, 10, 15, 20, 25, &amp; 30 minutes</w:t>
            </w:r>
          </w:p>
        </w:tc>
        <w:tc>
          <w:tcPr>
            <w:tcW w:w="2700" w:type="dxa"/>
            <w:tcBorders>
              <w:top w:val="single" w:sz="4" w:space="0" w:color="000000"/>
            </w:tcBorders>
            <w:tcMar>
              <w:top w:w="43" w:type="dxa"/>
              <w:left w:w="58" w:type="dxa"/>
              <w:bottom w:w="43" w:type="dxa"/>
              <w:right w:w="58" w:type="dxa"/>
            </w:tcMar>
          </w:tcPr>
          <w:p w:rsidR="00ED0E75" w:rsidRPr="00ED0E75" w:rsidRDefault="00ED0E75" w:rsidP="00ED0E75">
            <w:pPr>
              <w:rPr>
                <w:sz w:val="20"/>
              </w:rPr>
            </w:pPr>
            <w:r w:rsidRPr="00ED0E75">
              <w:rPr>
                <w:sz w:val="20"/>
              </w:rPr>
              <w:t>ASTM C</w:t>
            </w:r>
            <w:r w:rsidR="008430AB">
              <w:rPr>
                <w:sz w:val="20"/>
              </w:rPr>
              <w:t xml:space="preserve"> </w:t>
            </w:r>
            <w:r w:rsidRPr="00ED0E75">
              <w:rPr>
                <w:sz w:val="20"/>
              </w:rPr>
              <w:t>143/</w:t>
            </w:r>
          </w:p>
          <w:p w:rsidR="00ED0E75" w:rsidRPr="00ED0E75" w:rsidRDefault="00ED0E75" w:rsidP="00ED0E75">
            <w:pPr>
              <w:rPr>
                <w:sz w:val="20"/>
              </w:rPr>
            </w:pPr>
            <w:r w:rsidRPr="00ED0E75">
              <w:rPr>
                <w:sz w:val="20"/>
              </w:rPr>
              <w:t>AASHTO T 119</w:t>
            </w:r>
          </w:p>
        </w:tc>
        <w:tc>
          <w:tcPr>
            <w:tcW w:w="2398" w:type="dxa"/>
            <w:tcBorders>
              <w:top w:val="single" w:sz="4" w:space="0" w:color="000000"/>
            </w:tcBorders>
            <w:tcMar>
              <w:top w:w="43" w:type="dxa"/>
              <w:left w:w="58" w:type="dxa"/>
              <w:bottom w:w="43" w:type="dxa"/>
              <w:right w:w="58" w:type="dxa"/>
            </w:tcMar>
          </w:tcPr>
          <w:p w:rsidR="00ED0E75" w:rsidRPr="00ED0E75" w:rsidRDefault="00ED0E75" w:rsidP="00ED0E75">
            <w:pPr>
              <w:rPr>
                <w:sz w:val="20"/>
              </w:rPr>
            </w:pPr>
            <w:r w:rsidRPr="00ED0E75">
              <w:rPr>
                <w:sz w:val="20"/>
              </w:rPr>
              <w:t>Changes in workability may indicate changes in the w/cm ratio and affects placement in the field</w:t>
            </w:r>
          </w:p>
        </w:tc>
      </w:tr>
      <w:tr w:rsidR="00ED0E75" w:rsidTr="00ED0E75">
        <w:tc>
          <w:tcPr>
            <w:tcW w:w="1858" w:type="dxa"/>
            <w:gridSpan w:val="2"/>
            <w:tcMar>
              <w:top w:w="43" w:type="dxa"/>
              <w:left w:w="58" w:type="dxa"/>
              <w:bottom w:w="43" w:type="dxa"/>
              <w:right w:w="58" w:type="dxa"/>
            </w:tcMar>
          </w:tcPr>
          <w:p w:rsidR="00ED0E75" w:rsidRPr="00ED0E75" w:rsidRDefault="00ED0E75" w:rsidP="00ED0E75">
            <w:pPr>
              <w:rPr>
                <w:b/>
                <w:sz w:val="20"/>
              </w:rPr>
            </w:pPr>
          </w:p>
        </w:tc>
        <w:tc>
          <w:tcPr>
            <w:tcW w:w="2520" w:type="dxa"/>
            <w:tcMar>
              <w:top w:w="43" w:type="dxa"/>
              <w:left w:w="58" w:type="dxa"/>
              <w:bottom w:w="43" w:type="dxa"/>
              <w:right w:w="58" w:type="dxa"/>
            </w:tcMar>
          </w:tcPr>
          <w:p w:rsidR="00ED0E75" w:rsidRPr="00ED0E75" w:rsidRDefault="00ED0E75" w:rsidP="00ED0E75">
            <w:pPr>
              <w:rPr>
                <w:sz w:val="20"/>
              </w:rPr>
            </w:pPr>
            <w:r w:rsidRPr="00ED0E75">
              <w:rPr>
                <w:sz w:val="20"/>
              </w:rPr>
              <w:t>Concrete temperature when batched</w:t>
            </w:r>
          </w:p>
        </w:tc>
        <w:tc>
          <w:tcPr>
            <w:tcW w:w="2700" w:type="dxa"/>
            <w:tcMar>
              <w:top w:w="43" w:type="dxa"/>
              <w:left w:w="58" w:type="dxa"/>
              <w:bottom w:w="43" w:type="dxa"/>
              <w:right w:w="58" w:type="dxa"/>
            </w:tcMar>
          </w:tcPr>
          <w:p w:rsidR="00ED0E75" w:rsidRPr="00ED0E75" w:rsidRDefault="00ED0E75" w:rsidP="00ED0E75">
            <w:pPr>
              <w:rPr>
                <w:sz w:val="20"/>
              </w:rPr>
            </w:pPr>
            <w:r w:rsidRPr="00ED0E75">
              <w:rPr>
                <w:sz w:val="20"/>
              </w:rPr>
              <w:t>ASTM C 1064</w:t>
            </w:r>
          </w:p>
        </w:tc>
        <w:tc>
          <w:tcPr>
            <w:tcW w:w="2398" w:type="dxa"/>
            <w:tcMar>
              <w:top w:w="43" w:type="dxa"/>
              <w:left w:w="58" w:type="dxa"/>
              <w:bottom w:w="43" w:type="dxa"/>
              <w:right w:w="58" w:type="dxa"/>
            </w:tcMar>
          </w:tcPr>
          <w:p w:rsidR="00ED0E75" w:rsidRPr="00ED0E75" w:rsidRDefault="00ED0E75" w:rsidP="00ED0E75">
            <w:pPr>
              <w:rPr>
                <w:sz w:val="20"/>
              </w:rPr>
            </w:pPr>
            <w:r w:rsidRPr="00ED0E75">
              <w:rPr>
                <w:sz w:val="20"/>
              </w:rPr>
              <w:t>Temperature differences in the field may affect w/cm ratio, workability, and volumetric stability</w:t>
            </w:r>
          </w:p>
        </w:tc>
      </w:tr>
      <w:tr w:rsidR="00ED0E75" w:rsidTr="00ED0E75">
        <w:tc>
          <w:tcPr>
            <w:tcW w:w="1858" w:type="dxa"/>
            <w:gridSpan w:val="2"/>
            <w:tcMar>
              <w:top w:w="43" w:type="dxa"/>
              <w:left w:w="58" w:type="dxa"/>
              <w:bottom w:w="43" w:type="dxa"/>
              <w:right w:w="58" w:type="dxa"/>
            </w:tcMar>
          </w:tcPr>
          <w:p w:rsidR="00ED0E75" w:rsidRPr="00ED0E75" w:rsidRDefault="00ED0E75" w:rsidP="00ED0E75">
            <w:pPr>
              <w:rPr>
                <w:b/>
                <w:sz w:val="20"/>
              </w:rPr>
            </w:pPr>
          </w:p>
        </w:tc>
        <w:tc>
          <w:tcPr>
            <w:tcW w:w="2520" w:type="dxa"/>
            <w:tcMar>
              <w:top w:w="43" w:type="dxa"/>
              <w:left w:w="58" w:type="dxa"/>
              <w:bottom w:w="43" w:type="dxa"/>
              <w:right w:w="58" w:type="dxa"/>
            </w:tcMar>
          </w:tcPr>
          <w:p w:rsidR="00ED0E75" w:rsidRPr="00ED0E75" w:rsidRDefault="00ED0E75" w:rsidP="00ED0E75">
            <w:pPr>
              <w:rPr>
                <w:sz w:val="20"/>
              </w:rPr>
            </w:pPr>
            <w:r w:rsidRPr="00ED0E75">
              <w:rPr>
                <w:sz w:val="20"/>
              </w:rPr>
              <w:t>Grading and moisture content of aggregates</w:t>
            </w:r>
          </w:p>
        </w:tc>
        <w:tc>
          <w:tcPr>
            <w:tcW w:w="2700" w:type="dxa"/>
            <w:tcMar>
              <w:top w:w="43" w:type="dxa"/>
              <w:left w:w="58" w:type="dxa"/>
              <w:bottom w:w="43" w:type="dxa"/>
              <w:right w:w="58" w:type="dxa"/>
            </w:tcMar>
          </w:tcPr>
          <w:p w:rsidR="00ED0E75" w:rsidRDefault="00ED0E75" w:rsidP="00ED0E75">
            <w:pPr>
              <w:rPr>
                <w:sz w:val="20"/>
              </w:rPr>
            </w:pPr>
            <w:r w:rsidRPr="00ED0E75">
              <w:rPr>
                <w:sz w:val="20"/>
              </w:rPr>
              <w:t>ASTM C 136/AASHTO T</w:t>
            </w:r>
            <w:r w:rsidR="008430AB">
              <w:rPr>
                <w:sz w:val="20"/>
              </w:rPr>
              <w:t xml:space="preserve"> </w:t>
            </w:r>
            <w:r w:rsidRPr="00ED0E75">
              <w:rPr>
                <w:sz w:val="20"/>
              </w:rPr>
              <w:t xml:space="preserve">27 and </w:t>
            </w:r>
          </w:p>
          <w:p w:rsidR="00ED0E75" w:rsidRPr="00ED0E75" w:rsidRDefault="00ED0E75" w:rsidP="00ED0E75">
            <w:pPr>
              <w:rPr>
                <w:sz w:val="20"/>
              </w:rPr>
            </w:pPr>
            <w:r w:rsidRPr="00ED0E75">
              <w:rPr>
                <w:sz w:val="20"/>
              </w:rPr>
              <w:t>ASTM C 566/AASHTO T 255</w:t>
            </w:r>
          </w:p>
        </w:tc>
        <w:tc>
          <w:tcPr>
            <w:tcW w:w="2398" w:type="dxa"/>
            <w:tcMar>
              <w:top w:w="43" w:type="dxa"/>
              <w:left w:w="58" w:type="dxa"/>
              <w:bottom w:w="43" w:type="dxa"/>
              <w:right w:w="58" w:type="dxa"/>
            </w:tcMar>
          </w:tcPr>
          <w:p w:rsidR="00ED0E75" w:rsidRPr="00ED0E75" w:rsidRDefault="00ED0E75" w:rsidP="00ED0E75">
            <w:pPr>
              <w:rPr>
                <w:sz w:val="20"/>
              </w:rPr>
            </w:pPr>
            <w:r>
              <w:rPr>
                <w:sz w:val="20"/>
              </w:rPr>
              <w:t>Use the moisture content in conjunction with the absorption of the aggregate to calculate w/cm ratio</w:t>
            </w:r>
          </w:p>
        </w:tc>
      </w:tr>
      <w:tr w:rsidR="00ED0E75" w:rsidTr="00ED0E75">
        <w:tc>
          <w:tcPr>
            <w:tcW w:w="1858" w:type="dxa"/>
            <w:gridSpan w:val="2"/>
            <w:tcMar>
              <w:top w:w="43" w:type="dxa"/>
              <w:left w:w="58" w:type="dxa"/>
              <w:bottom w:w="43" w:type="dxa"/>
              <w:right w:w="58" w:type="dxa"/>
            </w:tcMar>
          </w:tcPr>
          <w:p w:rsidR="00ED0E75" w:rsidRPr="00ED0E75" w:rsidRDefault="00ED0E75" w:rsidP="00ED0E75">
            <w:pPr>
              <w:rPr>
                <w:b/>
                <w:sz w:val="20"/>
              </w:rPr>
            </w:pPr>
          </w:p>
        </w:tc>
        <w:tc>
          <w:tcPr>
            <w:tcW w:w="2520" w:type="dxa"/>
            <w:tcMar>
              <w:top w:w="43" w:type="dxa"/>
              <w:left w:w="58" w:type="dxa"/>
              <w:bottom w:w="43" w:type="dxa"/>
              <w:right w:w="58" w:type="dxa"/>
            </w:tcMar>
          </w:tcPr>
          <w:p w:rsidR="00ED0E75" w:rsidRPr="00ED0E75" w:rsidRDefault="00ED0E75" w:rsidP="00ED0E75">
            <w:pPr>
              <w:rPr>
                <w:sz w:val="20"/>
              </w:rPr>
            </w:pPr>
            <w:r>
              <w:rPr>
                <w:sz w:val="20"/>
              </w:rPr>
              <w:t>Combined grading</w:t>
            </w:r>
          </w:p>
        </w:tc>
        <w:tc>
          <w:tcPr>
            <w:tcW w:w="2700" w:type="dxa"/>
            <w:tcMar>
              <w:top w:w="43" w:type="dxa"/>
              <w:left w:w="58" w:type="dxa"/>
              <w:bottom w:w="43" w:type="dxa"/>
              <w:right w:w="58" w:type="dxa"/>
            </w:tcMar>
          </w:tcPr>
          <w:p w:rsidR="00ED0E75" w:rsidRPr="00ED0E75" w:rsidRDefault="00ED0E75" w:rsidP="00ED0E75">
            <w:pPr>
              <w:rPr>
                <w:sz w:val="20"/>
              </w:rPr>
            </w:pPr>
            <w:r>
              <w:rPr>
                <w:sz w:val="20"/>
              </w:rPr>
              <w:t>Coarseness/workability factors “8-18” analysis 0.45 power chart*</w:t>
            </w:r>
          </w:p>
        </w:tc>
        <w:tc>
          <w:tcPr>
            <w:tcW w:w="2398" w:type="dxa"/>
            <w:tcMar>
              <w:top w:w="43" w:type="dxa"/>
              <w:left w:w="58" w:type="dxa"/>
              <w:bottom w:w="43" w:type="dxa"/>
              <w:right w:w="58" w:type="dxa"/>
            </w:tcMar>
          </w:tcPr>
          <w:p w:rsidR="00ED0E75" w:rsidRPr="00ED0E75" w:rsidRDefault="00ED0E75" w:rsidP="00ED0E75">
            <w:pPr>
              <w:rPr>
                <w:sz w:val="20"/>
              </w:rPr>
            </w:pPr>
            <w:r>
              <w:rPr>
                <w:sz w:val="20"/>
              </w:rPr>
              <w:t>Project variability may affect workability and w/cm ratio</w:t>
            </w:r>
          </w:p>
        </w:tc>
      </w:tr>
      <w:tr w:rsidR="00ED0E75" w:rsidTr="00ED0E75">
        <w:tc>
          <w:tcPr>
            <w:tcW w:w="1858" w:type="dxa"/>
            <w:gridSpan w:val="2"/>
            <w:tcMar>
              <w:top w:w="43" w:type="dxa"/>
              <w:left w:w="58" w:type="dxa"/>
              <w:bottom w:w="43" w:type="dxa"/>
              <w:right w:w="58" w:type="dxa"/>
            </w:tcMar>
          </w:tcPr>
          <w:p w:rsidR="00ED0E75" w:rsidRPr="00ED0E75" w:rsidRDefault="00ED0E75" w:rsidP="00ED0E75">
            <w:pPr>
              <w:rPr>
                <w:b/>
                <w:sz w:val="20"/>
              </w:rPr>
            </w:pPr>
            <w:r>
              <w:rPr>
                <w:b/>
                <w:sz w:val="20"/>
              </w:rPr>
              <w:t>Strength development</w:t>
            </w:r>
          </w:p>
        </w:tc>
        <w:tc>
          <w:tcPr>
            <w:tcW w:w="2520" w:type="dxa"/>
            <w:tcMar>
              <w:top w:w="43" w:type="dxa"/>
              <w:left w:w="58" w:type="dxa"/>
              <w:bottom w:w="43" w:type="dxa"/>
              <w:right w:w="58" w:type="dxa"/>
            </w:tcMar>
          </w:tcPr>
          <w:p w:rsidR="00ED0E75" w:rsidRPr="00ED0E75" w:rsidRDefault="00ED0E75" w:rsidP="00ED0E75">
            <w:pPr>
              <w:rPr>
                <w:sz w:val="20"/>
              </w:rPr>
            </w:pPr>
            <w:r>
              <w:rPr>
                <w:sz w:val="20"/>
              </w:rPr>
              <w:t>Compressive or flexural strength</w:t>
            </w:r>
          </w:p>
        </w:tc>
        <w:tc>
          <w:tcPr>
            <w:tcW w:w="2700" w:type="dxa"/>
            <w:tcMar>
              <w:top w:w="43" w:type="dxa"/>
              <w:left w:w="58" w:type="dxa"/>
              <w:bottom w:w="43" w:type="dxa"/>
              <w:right w:w="58" w:type="dxa"/>
            </w:tcMar>
          </w:tcPr>
          <w:p w:rsidR="00ED0E75" w:rsidRDefault="00ED0E75" w:rsidP="00ED0E75">
            <w:pPr>
              <w:rPr>
                <w:sz w:val="20"/>
              </w:rPr>
            </w:pPr>
            <w:r>
              <w:rPr>
                <w:sz w:val="20"/>
              </w:rPr>
              <w:t>ASTM C</w:t>
            </w:r>
            <w:r w:rsidR="008430AB">
              <w:rPr>
                <w:sz w:val="20"/>
              </w:rPr>
              <w:t xml:space="preserve"> </w:t>
            </w:r>
            <w:r>
              <w:rPr>
                <w:sz w:val="20"/>
              </w:rPr>
              <w:t>39/AASHTO T</w:t>
            </w:r>
            <w:r w:rsidR="008430AB">
              <w:rPr>
                <w:sz w:val="20"/>
              </w:rPr>
              <w:t xml:space="preserve"> </w:t>
            </w:r>
            <w:r>
              <w:rPr>
                <w:sz w:val="20"/>
              </w:rPr>
              <w:t>22</w:t>
            </w:r>
          </w:p>
          <w:p w:rsidR="00ED0E75" w:rsidRDefault="00ED0E75" w:rsidP="00ED0E75">
            <w:pPr>
              <w:rPr>
                <w:sz w:val="20"/>
              </w:rPr>
            </w:pPr>
            <w:r>
              <w:rPr>
                <w:sz w:val="20"/>
              </w:rPr>
              <w:t>and/or</w:t>
            </w:r>
          </w:p>
          <w:p w:rsidR="00ED0E75" w:rsidRPr="00ED0E75" w:rsidRDefault="00ED0E75" w:rsidP="00ED0E75">
            <w:pPr>
              <w:rPr>
                <w:sz w:val="20"/>
              </w:rPr>
            </w:pPr>
            <w:r>
              <w:rPr>
                <w:sz w:val="20"/>
              </w:rPr>
              <w:t>ASTM C</w:t>
            </w:r>
            <w:r w:rsidR="008430AB">
              <w:rPr>
                <w:sz w:val="20"/>
              </w:rPr>
              <w:t xml:space="preserve"> </w:t>
            </w:r>
            <w:r>
              <w:rPr>
                <w:sz w:val="20"/>
              </w:rPr>
              <w:t>78/AASHTO T</w:t>
            </w:r>
            <w:r w:rsidR="008430AB">
              <w:rPr>
                <w:sz w:val="20"/>
              </w:rPr>
              <w:t xml:space="preserve"> </w:t>
            </w:r>
            <w:r>
              <w:rPr>
                <w:sz w:val="20"/>
              </w:rPr>
              <w:t>97</w:t>
            </w:r>
          </w:p>
        </w:tc>
        <w:tc>
          <w:tcPr>
            <w:tcW w:w="2398" w:type="dxa"/>
            <w:tcMar>
              <w:top w:w="43" w:type="dxa"/>
              <w:left w:w="58" w:type="dxa"/>
              <w:bottom w:w="43" w:type="dxa"/>
              <w:right w:w="58" w:type="dxa"/>
            </w:tcMar>
          </w:tcPr>
          <w:p w:rsidR="00ED0E75" w:rsidRDefault="00ED0E75" w:rsidP="00ED0E75">
            <w:pPr>
              <w:rPr>
                <w:sz w:val="20"/>
              </w:rPr>
            </w:pPr>
            <w:r>
              <w:rPr>
                <w:sz w:val="20"/>
              </w:rPr>
              <w:t xml:space="preserve">Cast as many specimens as possible from a single batch-break 3 @ 3 days, </w:t>
            </w:r>
          </w:p>
          <w:p w:rsidR="00ED0E75" w:rsidRPr="00ED0E75" w:rsidRDefault="00ED0E75" w:rsidP="00ED0E75">
            <w:pPr>
              <w:rPr>
                <w:sz w:val="20"/>
              </w:rPr>
            </w:pPr>
            <w:r>
              <w:rPr>
                <w:sz w:val="20"/>
              </w:rPr>
              <w:t>3 @ 7 days, and 12 @ 28 days.</w:t>
            </w:r>
          </w:p>
        </w:tc>
      </w:tr>
      <w:tr w:rsidR="00ED0E75" w:rsidTr="00ED0E75">
        <w:tc>
          <w:tcPr>
            <w:tcW w:w="1858" w:type="dxa"/>
            <w:gridSpan w:val="2"/>
            <w:tcMar>
              <w:top w:w="43" w:type="dxa"/>
              <w:left w:w="58" w:type="dxa"/>
              <w:bottom w:w="43" w:type="dxa"/>
              <w:right w:w="58" w:type="dxa"/>
            </w:tcMar>
          </w:tcPr>
          <w:p w:rsidR="00ED0E75" w:rsidRPr="00ED0E75" w:rsidRDefault="00ED0E75" w:rsidP="00ED0E75">
            <w:pPr>
              <w:rPr>
                <w:b/>
                <w:sz w:val="20"/>
              </w:rPr>
            </w:pPr>
          </w:p>
        </w:tc>
        <w:tc>
          <w:tcPr>
            <w:tcW w:w="2520" w:type="dxa"/>
            <w:tcMar>
              <w:top w:w="43" w:type="dxa"/>
              <w:left w:w="58" w:type="dxa"/>
              <w:bottom w:w="43" w:type="dxa"/>
              <w:right w:w="58" w:type="dxa"/>
            </w:tcMar>
          </w:tcPr>
          <w:p w:rsidR="00ED0E75" w:rsidRPr="00ED0E75" w:rsidRDefault="00ED0E75" w:rsidP="00ED0E75">
            <w:pPr>
              <w:rPr>
                <w:sz w:val="20"/>
              </w:rPr>
            </w:pPr>
            <w:r>
              <w:rPr>
                <w:sz w:val="20"/>
              </w:rPr>
              <w:t>Maturity curve</w:t>
            </w:r>
          </w:p>
        </w:tc>
        <w:tc>
          <w:tcPr>
            <w:tcW w:w="2700" w:type="dxa"/>
            <w:tcMar>
              <w:top w:w="43" w:type="dxa"/>
              <w:left w:w="58" w:type="dxa"/>
              <w:bottom w:w="43" w:type="dxa"/>
              <w:right w:w="58" w:type="dxa"/>
            </w:tcMar>
          </w:tcPr>
          <w:p w:rsidR="00ED0E75" w:rsidRDefault="00ED0E75" w:rsidP="00ED0E75">
            <w:pPr>
              <w:rPr>
                <w:sz w:val="20"/>
              </w:rPr>
            </w:pPr>
            <w:r>
              <w:rPr>
                <w:sz w:val="20"/>
              </w:rPr>
              <w:t>ASTM C 1074 or</w:t>
            </w:r>
          </w:p>
          <w:p w:rsidR="00ED0E75" w:rsidRPr="00ED0E75" w:rsidRDefault="00ED0E75" w:rsidP="00ED0E75">
            <w:pPr>
              <w:rPr>
                <w:sz w:val="20"/>
              </w:rPr>
            </w:pPr>
            <w:r>
              <w:rPr>
                <w:sz w:val="20"/>
              </w:rPr>
              <w:t>Agency special provisions</w:t>
            </w:r>
          </w:p>
        </w:tc>
        <w:tc>
          <w:tcPr>
            <w:tcW w:w="2398" w:type="dxa"/>
            <w:tcMar>
              <w:top w:w="43" w:type="dxa"/>
              <w:left w:w="58" w:type="dxa"/>
              <w:bottom w:w="43" w:type="dxa"/>
              <w:right w:w="58" w:type="dxa"/>
            </w:tcMar>
          </w:tcPr>
          <w:p w:rsidR="00ED0E75" w:rsidRPr="00ED0E75" w:rsidRDefault="00ED0E75" w:rsidP="00ED0E75">
            <w:pPr>
              <w:rPr>
                <w:sz w:val="20"/>
              </w:rPr>
            </w:pPr>
            <w:r>
              <w:rPr>
                <w:sz w:val="20"/>
              </w:rPr>
              <w:t>May also be developed in the field during the field trial stage</w:t>
            </w:r>
          </w:p>
        </w:tc>
      </w:tr>
      <w:tr w:rsidR="00ED0E75" w:rsidTr="00ED0E75">
        <w:tc>
          <w:tcPr>
            <w:tcW w:w="1858" w:type="dxa"/>
            <w:gridSpan w:val="2"/>
            <w:tcMar>
              <w:top w:w="43" w:type="dxa"/>
              <w:left w:w="58" w:type="dxa"/>
              <w:bottom w:w="43" w:type="dxa"/>
              <w:right w:w="58" w:type="dxa"/>
            </w:tcMar>
          </w:tcPr>
          <w:p w:rsidR="00ED0E75" w:rsidRPr="00ED0E75" w:rsidRDefault="00ED0E75" w:rsidP="00ED0E75">
            <w:pPr>
              <w:rPr>
                <w:b/>
                <w:sz w:val="20"/>
              </w:rPr>
            </w:pPr>
            <w:r>
              <w:rPr>
                <w:b/>
                <w:sz w:val="20"/>
              </w:rPr>
              <w:t>Air content</w:t>
            </w:r>
          </w:p>
        </w:tc>
        <w:tc>
          <w:tcPr>
            <w:tcW w:w="2520" w:type="dxa"/>
            <w:tcMar>
              <w:top w:w="43" w:type="dxa"/>
              <w:left w:w="58" w:type="dxa"/>
              <w:bottom w:w="43" w:type="dxa"/>
              <w:right w:w="58" w:type="dxa"/>
            </w:tcMar>
          </w:tcPr>
          <w:p w:rsidR="00ED0E75" w:rsidRPr="00ED0E75" w:rsidRDefault="00ED0E75" w:rsidP="00ED0E75">
            <w:pPr>
              <w:rPr>
                <w:sz w:val="20"/>
              </w:rPr>
            </w:pPr>
            <w:r>
              <w:rPr>
                <w:sz w:val="20"/>
              </w:rPr>
              <w:t>Air content</w:t>
            </w:r>
          </w:p>
        </w:tc>
        <w:tc>
          <w:tcPr>
            <w:tcW w:w="2700" w:type="dxa"/>
            <w:tcMar>
              <w:top w:w="43" w:type="dxa"/>
              <w:left w:w="58" w:type="dxa"/>
              <w:bottom w:w="43" w:type="dxa"/>
              <w:right w:w="58" w:type="dxa"/>
            </w:tcMar>
          </w:tcPr>
          <w:p w:rsidR="00ED0E75" w:rsidRPr="00ED0E75" w:rsidRDefault="00ED0E75" w:rsidP="00ED0E75">
            <w:pPr>
              <w:rPr>
                <w:sz w:val="20"/>
              </w:rPr>
            </w:pPr>
            <w:r>
              <w:rPr>
                <w:sz w:val="20"/>
              </w:rPr>
              <w:t>ASTM C 231/AASHTO T 152</w:t>
            </w:r>
          </w:p>
        </w:tc>
        <w:tc>
          <w:tcPr>
            <w:tcW w:w="2398" w:type="dxa"/>
            <w:tcMar>
              <w:top w:w="43" w:type="dxa"/>
              <w:left w:w="58" w:type="dxa"/>
              <w:bottom w:w="43" w:type="dxa"/>
              <w:right w:w="58" w:type="dxa"/>
            </w:tcMar>
          </w:tcPr>
          <w:p w:rsidR="00ED0E75" w:rsidRPr="00ED0E75" w:rsidRDefault="00ED0E75" w:rsidP="00ED0E75">
            <w:pPr>
              <w:rPr>
                <w:sz w:val="20"/>
              </w:rPr>
            </w:pPr>
            <w:r>
              <w:rPr>
                <w:sz w:val="20"/>
              </w:rPr>
              <w:t>Target the middle of the specification range – laboratory batches with air contents on the low end of specification tolerances will provide higher strengths.</w:t>
            </w:r>
          </w:p>
        </w:tc>
      </w:tr>
      <w:tr w:rsidR="003F450D" w:rsidTr="00ED0E75">
        <w:tc>
          <w:tcPr>
            <w:tcW w:w="1858" w:type="dxa"/>
            <w:gridSpan w:val="2"/>
            <w:tcMar>
              <w:top w:w="43" w:type="dxa"/>
              <w:left w:w="58" w:type="dxa"/>
              <w:bottom w:w="43" w:type="dxa"/>
              <w:right w:w="58" w:type="dxa"/>
            </w:tcMar>
          </w:tcPr>
          <w:p w:rsidR="003F450D" w:rsidRDefault="003F450D" w:rsidP="00ED0E75">
            <w:pPr>
              <w:rPr>
                <w:b/>
                <w:sz w:val="20"/>
              </w:rPr>
            </w:pPr>
          </w:p>
        </w:tc>
        <w:tc>
          <w:tcPr>
            <w:tcW w:w="2520" w:type="dxa"/>
            <w:tcMar>
              <w:top w:w="43" w:type="dxa"/>
              <w:left w:w="58" w:type="dxa"/>
              <w:bottom w:w="43" w:type="dxa"/>
              <w:right w:w="58" w:type="dxa"/>
            </w:tcMar>
          </w:tcPr>
          <w:p w:rsidR="003F450D" w:rsidRDefault="003F450D" w:rsidP="00ED0E75">
            <w:pPr>
              <w:rPr>
                <w:sz w:val="20"/>
              </w:rPr>
            </w:pPr>
            <w:r>
              <w:rPr>
                <w:sz w:val="20"/>
              </w:rPr>
              <w:t>Air-void analyzer and/or image analysis</w:t>
            </w:r>
          </w:p>
        </w:tc>
        <w:tc>
          <w:tcPr>
            <w:tcW w:w="2700" w:type="dxa"/>
            <w:tcMar>
              <w:top w:w="43" w:type="dxa"/>
              <w:left w:w="58" w:type="dxa"/>
              <w:bottom w:w="43" w:type="dxa"/>
              <w:right w:w="58" w:type="dxa"/>
            </w:tcMar>
          </w:tcPr>
          <w:p w:rsidR="003F450D" w:rsidRDefault="003F450D" w:rsidP="00ED0E75">
            <w:pPr>
              <w:rPr>
                <w:sz w:val="20"/>
              </w:rPr>
            </w:pPr>
            <w:r>
              <w:rPr>
                <w:sz w:val="20"/>
              </w:rPr>
              <w:t>ASTM C 457</w:t>
            </w:r>
          </w:p>
        </w:tc>
        <w:tc>
          <w:tcPr>
            <w:tcW w:w="2398" w:type="dxa"/>
            <w:tcMar>
              <w:top w:w="43" w:type="dxa"/>
              <w:left w:w="58" w:type="dxa"/>
              <w:bottom w:w="43" w:type="dxa"/>
              <w:right w:w="58" w:type="dxa"/>
            </w:tcMar>
          </w:tcPr>
          <w:p w:rsidR="003F450D" w:rsidRDefault="003F450D" w:rsidP="00ED0E75">
            <w:pPr>
              <w:rPr>
                <w:sz w:val="20"/>
              </w:rPr>
            </w:pPr>
            <w:r>
              <w:rPr>
                <w:sz w:val="20"/>
              </w:rPr>
              <w:t>Spacing factor and specific surface area are both critical for freeze/thaw durability</w:t>
            </w:r>
          </w:p>
        </w:tc>
      </w:tr>
      <w:tr w:rsidR="003F450D" w:rsidTr="003F450D">
        <w:tc>
          <w:tcPr>
            <w:tcW w:w="1858" w:type="dxa"/>
            <w:gridSpan w:val="2"/>
            <w:tcMar>
              <w:top w:w="43" w:type="dxa"/>
              <w:left w:w="58" w:type="dxa"/>
              <w:bottom w:w="43" w:type="dxa"/>
              <w:right w:w="58" w:type="dxa"/>
            </w:tcMar>
          </w:tcPr>
          <w:p w:rsidR="003F450D" w:rsidRDefault="003F450D" w:rsidP="00ED0E75">
            <w:pPr>
              <w:rPr>
                <w:b/>
                <w:sz w:val="20"/>
              </w:rPr>
            </w:pPr>
            <w:r>
              <w:rPr>
                <w:b/>
                <w:sz w:val="20"/>
              </w:rPr>
              <w:t>Density</w:t>
            </w:r>
          </w:p>
        </w:tc>
        <w:tc>
          <w:tcPr>
            <w:tcW w:w="2520" w:type="dxa"/>
            <w:tcMar>
              <w:top w:w="43" w:type="dxa"/>
              <w:left w:w="58" w:type="dxa"/>
              <w:bottom w:w="43" w:type="dxa"/>
              <w:right w:w="58" w:type="dxa"/>
            </w:tcMar>
          </w:tcPr>
          <w:p w:rsidR="003F450D" w:rsidRDefault="003F450D" w:rsidP="00DA24FA">
            <w:pPr>
              <w:rPr>
                <w:sz w:val="20"/>
              </w:rPr>
            </w:pPr>
            <w:r>
              <w:rPr>
                <w:sz w:val="20"/>
              </w:rPr>
              <w:t>Density</w:t>
            </w:r>
          </w:p>
        </w:tc>
        <w:tc>
          <w:tcPr>
            <w:tcW w:w="2700" w:type="dxa"/>
            <w:tcMar>
              <w:top w:w="43" w:type="dxa"/>
              <w:left w:w="58" w:type="dxa"/>
              <w:bottom w:w="43" w:type="dxa"/>
              <w:right w:w="58" w:type="dxa"/>
            </w:tcMar>
          </w:tcPr>
          <w:p w:rsidR="003F450D" w:rsidRDefault="003F450D" w:rsidP="00ED0E75">
            <w:pPr>
              <w:rPr>
                <w:sz w:val="20"/>
              </w:rPr>
            </w:pPr>
            <w:r>
              <w:rPr>
                <w:sz w:val="20"/>
              </w:rPr>
              <w:t>ASTM C 138/AASHTO T 121</w:t>
            </w:r>
          </w:p>
        </w:tc>
        <w:tc>
          <w:tcPr>
            <w:tcW w:w="2398" w:type="dxa"/>
            <w:tcMar>
              <w:top w:w="43" w:type="dxa"/>
              <w:left w:w="58" w:type="dxa"/>
              <w:bottom w:w="43" w:type="dxa"/>
              <w:right w:w="58" w:type="dxa"/>
            </w:tcMar>
          </w:tcPr>
          <w:p w:rsidR="003F450D" w:rsidRDefault="003F450D" w:rsidP="00ED0E75">
            <w:pPr>
              <w:rPr>
                <w:sz w:val="20"/>
              </w:rPr>
            </w:pPr>
            <w:r>
              <w:rPr>
                <w:sz w:val="20"/>
              </w:rPr>
              <w:t>Indicates (1) volumetric quantity (yield) of concrete produced per batch, (2) air content of concrete mixture, (3) uniformity</w:t>
            </w:r>
          </w:p>
        </w:tc>
      </w:tr>
      <w:tr w:rsidR="003F450D" w:rsidTr="003F450D">
        <w:tc>
          <w:tcPr>
            <w:tcW w:w="1858" w:type="dxa"/>
            <w:gridSpan w:val="2"/>
            <w:tcBorders>
              <w:bottom w:val="single" w:sz="18" w:space="0" w:color="000000"/>
            </w:tcBorders>
            <w:tcMar>
              <w:top w:w="43" w:type="dxa"/>
              <w:left w:w="58" w:type="dxa"/>
              <w:bottom w:w="43" w:type="dxa"/>
              <w:right w:w="58" w:type="dxa"/>
            </w:tcMar>
          </w:tcPr>
          <w:p w:rsidR="003F450D" w:rsidRDefault="003F450D" w:rsidP="00ED0E75">
            <w:pPr>
              <w:rPr>
                <w:b/>
                <w:sz w:val="20"/>
              </w:rPr>
            </w:pPr>
            <w:r>
              <w:rPr>
                <w:b/>
                <w:sz w:val="20"/>
              </w:rPr>
              <w:t>Permeability</w:t>
            </w:r>
          </w:p>
        </w:tc>
        <w:tc>
          <w:tcPr>
            <w:tcW w:w="2520" w:type="dxa"/>
            <w:tcBorders>
              <w:bottom w:val="single" w:sz="18" w:space="0" w:color="000000"/>
            </w:tcBorders>
            <w:tcMar>
              <w:top w:w="43" w:type="dxa"/>
              <w:left w:w="58" w:type="dxa"/>
              <w:bottom w:w="43" w:type="dxa"/>
              <w:right w:w="58" w:type="dxa"/>
            </w:tcMar>
          </w:tcPr>
          <w:p w:rsidR="003F450D" w:rsidRDefault="003F450D" w:rsidP="00ED0E75">
            <w:pPr>
              <w:rPr>
                <w:sz w:val="20"/>
              </w:rPr>
            </w:pPr>
            <w:r>
              <w:rPr>
                <w:sz w:val="20"/>
              </w:rPr>
              <w:t>Rapid chloride penetration</w:t>
            </w:r>
          </w:p>
        </w:tc>
        <w:tc>
          <w:tcPr>
            <w:tcW w:w="2700" w:type="dxa"/>
            <w:tcBorders>
              <w:bottom w:val="single" w:sz="18" w:space="0" w:color="000000"/>
            </w:tcBorders>
            <w:tcMar>
              <w:top w:w="43" w:type="dxa"/>
              <w:left w:w="58" w:type="dxa"/>
              <w:bottom w:w="43" w:type="dxa"/>
              <w:right w:w="58" w:type="dxa"/>
            </w:tcMar>
          </w:tcPr>
          <w:p w:rsidR="003F450D" w:rsidRDefault="003F450D" w:rsidP="00ED0E75">
            <w:pPr>
              <w:rPr>
                <w:sz w:val="20"/>
              </w:rPr>
            </w:pPr>
            <w:r>
              <w:rPr>
                <w:sz w:val="20"/>
              </w:rPr>
              <w:t>ASTM C 1202/AASHTO T 277</w:t>
            </w:r>
          </w:p>
        </w:tc>
        <w:tc>
          <w:tcPr>
            <w:tcW w:w="2398" w:type="dxa"/>
            <w:tcBorders>
              <w:bottom w:val="single" w:sz="18" w:space="0" w:color="000000"/>
            </w:tcBorders>
            <w:tcMar>
              <w:top w:w="43" w:type="dxa"/>
              <w:left w:w="58" w:type="dxa"/>
              <w:bottom w:w="43" w:type="dxa"/>
              <w:right w:w="58" w:type="dxa"/>
            </w:tcMar>
          </w:tcPr>
          <w:p w:rsidR="003F450D" w:rsidRDefault="003F450D" w:rsidP="00ED0E75">
            <w:pPr>
              <w:rPr>
                <w:sz w:val="20"/>
              </w:rPr>
            </w:pPr>
            <w:r>
              <w:rPr>
                <w:sz w:val="20"/>
              </w:rPr>
              <w:t>Results are interpreted in ranges that are broadly related to permeability</w:t>
            </w:r>
          </w:p>
        </w:tc>
      </w:tr>
      <w:tr w:rsidR="00F46944" w:rsidTr="00F46944">
        <w:tc>
          <w:tcPr>
            <w:tcW w:w="598" w:type="dxa"/>
            <w:tcBorders>
              <w:top w:val="single" w:sz="18" w:space="0" w:color="000000"/>
            </w:tcBorders>
            <w:tcMar>
              <w:top w:w="43" w:type="dxa"/>
              <w:left w:w="58" w:type="dxa"/>
              <w:bottom w:w="43" w:type="dxa"/>
              <w:right w:w="58" w:type="dxa"/>
            </w:tcMar>
          </w:tcPr>
          <w:p w:rsidR="00F46944" w:rsidRDefault="00F46944" w:rsidP="00ED0E75">
            <w:pPr>
              <w:rPr>
                <w:b/>
                <w:sz w:val="20"/>
              </w:rPr>
            </w:pPr>
            <w:r>
              <w:rPr>
                <w:b/>
                <w:sz w:val="20"/>
              </w:rPr>
              <w:t>*</w:t>
            </w:r>
          </w:p>
          <w:p w:rsidR="00F46944" w:rsidRDefault="00F46944" w:rsidP="00ED0E75">
            <w:pPr>
              <w:rPr>
                <w:b/>
                <w:sz w:val="20"/>
              </w:rPr>
            </w:pPr>
            <w:r>
              <w:rPr>
                <w:b/>
                <w:sz w:val="20"/>
              </w:rPr>
              <w:t>**</w:t>
            </w:r>
          </w:p>
        </w:tc>
        <w:tc>
          <w:tcPr>
            <w:tcW w:w="8878" w:type="dxa"/>
            <w:gridSpan w:val="4"/>
            <w:tcBorders>
              <w:top w:val="single" w:sz="18" w:space="0" w:color="000000"/>
            </w:tcBorders>
          </w:tcPr>
          <w:p w:rsidR="00F46944" w:rsidRDefault="00F46944" w:rsidP="00ED0E75">
            <w:pPr>
              <w:rPr>
                <w:sz w:val="20"/>
              </w:rPr>
            </w:pPr>
            <w:r>
              <w:rPr>
                <w:sz w:val="20"/>
              </w:rPr>
              <w:t>See 0.45 power chart</w:t>
            </w:r>
            <w:r w:rsidR="007D3590">
              <w:rPr>
                <w:sz w:val="20"/>
              </w:rPr>
              <w:t>,</w:t>
            </w:r>
            <w:r w:rsidR="007D3590" w:rsidRPr="007D3590">
              <w:rPr>
                <w:color w:val="FF0000"/>
                <w:sz w:val="20"/>
              </w:rPr>
              <w:t xml:space="preserve"> Figure 3-31</w:t>
            </w:r>
            <w:r w:rsidR="007D3590">
              <w:rPr>
                <w:sz w:val="20"/>
              </w:rPr>
              <w:t>.</w:t>
            </w:r>
          </w:p>
          <w:p w:rsidR="00F46944" w:rsidRDefault="00F46944" w:rsidP="00ED0E75">
            <w:pPr>
              <w:rPr>
                <w:sz w:val="20"/>
              </w:rPr>
            </w:pPr>
            <w:r w:rsidRPr="00F46944">
              <w:rPr>
                <w:sz w:val="20"/>
              </w:rPr>
              <w:t>www.aashtotig.org/(click</w:t>
            </w:r>
            <w:r>
              <w:rPr>
                <w:sz w:val="20"/>
              </w:rPr>
              <w:t xml:space="preserve"> on FocusTechnologies.AVA)</w:t>
            </w:r>
          </w:p>
        </w:tc>
      </w:tr>
    </w:tbl>
    <w:p w:rsidR="004774B9" w:rsidRDefault="004774B9" w:rsidP="004E6318">
      <w:pPr>
        <w:jc w:val="center"/>
      </w:pPr>
    </w:p>
    <w:p w:rsidR="004E6318" w:rsidRDefault="004E6318">
      <w:pPr>
        <w:rPr>
          <w:szCs w:val="24"/>
        </w:rPr>
      </w:pPr>
    </w:p>
    <w:p w:rsidR="00FA1A5E" w:rsidRDefault="00FA1A5E">
      <w:pPr>
        <w:rPr>
          <w:bCs/>
          <w:szCs w:val="18"/>
        </w:rPr>
      </w:pPr>
      <w:bookmarkStart w:id="218" w:name="_Toc295918130"/>
      <w:r>
        <w:br w:type="page"/>
      </w:r>
    </w:p>
    <w:p w:rsidR="004774B9" w:rsidRPr="00BB51C6" w:rsidRDefault="004E6318" w:rsidP="004E6318">
      <w:pPr>
        <w:pStyle w:val="Caption"/>
      </w:pPr>
      <w:r>
        <w:t>Table</w:t>
      </w:r>
      <w:r w:rsidR="00C11CBD">
        <w:t xml:space="preserve"> </w:t>
      </w:r>
      <w:bookmarkStart w:id="219" w:name="t23"/>
      <w:r w:rsidR="00F64A96">
        <w:t>3-</w:t>
      </w:r>
      <w:bookmarkEnd w:id="219"/>
      <w:r w:rsidR="00FA1A5E">
        <w:t>2</w:t>
      </w:r>
      <w:r w:rsidR="008A38BC">
        <w:t>3</w:t>
      </w:r>
      <w:r>
        <w:t xml:space="preserve">.  </w:t>
      </w:r>
      <w:r w:rsidR="004774B9">
        <w:t>Suggested field trial batch testing plan (</w:t>
      </w:r>
      <w:hyperlink r:id="rId118" w:history="1">
        <w:r w:rsidR="004774B9" w:rsidRPr="00C34073">
          <w:rPr>
            <w:rStyle w:val="Hyperlink"/>
          </w:rPr>
          <w:t>Taylor et al. 2006</w:t>
        </w:r>
      </w:hyperlink>
      <w:r w:rsidR="004774B9">
        <w:t>).</w:t>
      </w:r>
      <w:bookmarkEnd w:id="218"/>
    </w:p>
    <w:p w:rsidR="004774B9" w:rsidRPr="00BB51C6" w:rsidRDefault="004774B9" w:rsidP="004E6318">
      <w:pPr>
        <w:jc w:val="center"/>
      </w:pPr>
      <w:r w:rsidRPr="00BB51C6">
        <w:rPr>
          <w:noProof/>
        </w:rPr>
        <w:drawing>
          <wp:inline distT="0" distB="0" distL="0" distR="0">
            <wp:extent cx="3291840" cy="4108088"/>
            <wp:effectExtent l="19050" t="0" r="3810" b="0"/>
            <wp:docPr id="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9" cstate="print"/>
                    <a:srcRect/>
                    <a:stretch>
                      <a:fillRect/>
                    </a:stretch>
                  </pic:blipFill>
                  <pic:spPr bwMode="auto">
                    <a:xfrm>
                      <a:off x="0" y="0"/>
                      <a:ext cx="3291840" cy="4108088"/>
                    </a:xfrm>
                    <a:prstGeom prst="rect">
                      <a:avLst/>
                    </a:prstGeom>
                    <a:noFill/>
                    <a:ln w="9525">
                      <a:noFill/>
                      <a:miter lim="800000"/>
                      <a:headEnd/>
                      <a:tailEnd/>
                    </a:ln>
                  </pic:spPr>
                </pic:pic>
              </a:graphicData>
            </a:graphic>
          </wp:inline>
        </w:drawing>
      </w:r>
    </w:p>
    <w:p w:rsidR="004774B9" w:rsidRPr="004E6318" w:rsidRDefault="004774B9" w:rsidP="004E6318">
      <w:pPr>
        <w:pStyle w:val="APTechParagraph"/>
        <w:ind w:left="2070" w:right="1890"/>
        <w:rPr>
          <w:sz w:val="20"/>
          <w:szCs w:val="20"/>
        </w:rPr>
      </w:pPr>
      <w:r w:rsidRPr="004E6318">
        <w:rPr>
          <w:sz w:val="20"/>
          <w:szCs w:val="20"/>
        </w:rPr>
        <w:t xml:space="preserve">CRD-C 55, </w:t>
      </w:r>
      <w:r w:rsidRPr="004E6318">
        <w:rPr>
          <w:i/>
          <w:sz w:val="20"/>
          <w:szCs w:val="20"/>
        </w:rPr>
        <w:t>Test Method for Within-Batch Uniformity of Freshly</w:t>
      </w:r>
      <w:r w:rsidR="004E6318">
        <w:rPr>
          <w:i/>
          <w:sz w:val="20"/>
          <w:szCs w:val="20"/>
        </w:rPr>
        <w:t xml:space="preserve"> </w:t>
      </w:r>
      <w:r w:rsidRPr="004E6318">
        <w:rPr>
          <w:i/>
          <w:sz w:val="20"/>
          <w:szCs w:val="20"/>
        </w:rPr>
        <w:t>Mixed Concrete</w:t>
      </w:r>
      <w:r w:rsidRPr="004E6318">
        <w:rPr>
          <w:sz w:val="20"/>
          <w:szCs w:val="20"/>
        </w:rPr>
        <w:t>. U.S. Army Corps of Engineers.</w:t>
      </w:r>
    </w:p>
    <w:p w:rsidR="004774B9" w:rsidRPr="00BB51C6" w:rsidRDefault="004774B9" w:rsidP="004774B9">
      <w:pPr>
        <w:pStyle w:val="APTechParagraph"/>
      </w:pPr>
    </w:p>
    <w:p w:rsidR="00543531" w:rsidRDefault="00543531">
      <w:pPr>
        <w:rPr>
          <w:szCs w:val="24"/>
        </w:rPr>
      </w:pPr>
      <w:r>
        <w:br w:type="page"/>
      </w:r>
    </w:p>
    <w:p w:rsidR="00915AAF" w:rsidRDefault="00543531" w:rsidP="00543531">
      <w:pPr>
        <w:pStyle w:val="Heading2"/>
      </w:pPr>
      <w:r>
        <w:t>References</w:t>
      </w:r>
    </w:p>
    <w:p w:rsidR="001A536F" w:rsidRDefault="001A536F" w:rsidP="00543531">
      <w:pPr>
        <w:pStyle w:val="APTechParagraph"/>
        <w:spacing w:after="240"/>
      </w:pPr>
      <w:r>
        <w:t xml:space="preserve">Advanced Asphalt Technologies, LLC (AAT).  2011.  </w:t>
      </w:r>
      <w:r>
        <w:rPr>
          <w:i/>
        </w:rPr>
        <w:t xml:space="preserve">A Manual for Design of Hot Mix </w:t>
      </w:r>
      <w:r w:rsidR="00D91B6B">
        <w:rPr>
          <w:i/>
        </w:rPr>
        <w:t>Asphalt</w:t>
      </w:r>
      <w:r>
        <w:rPr>
          <w:i/>
        </w:rPr>
        <w:t xml:space="preserve"> with Commentary.</w:t>
      </w:r>
      <w:r>
        <w:t xml:space="preserve">  NCHRP Report 673.  </w:t>
      </w:r>
      <w:r w:rsidR="000549BC">
        <w:t>Transportation Research Board</w:t>
      </w:r>
      <w:r>
        <w:t xml:space="preserve">, Washington, DC.  Available online at:  </w:t>
      </w:r>
      <w:hyperlink r:id="rId120" w:history="1">
        <w:r w:rsidR="00D91B6B" w:rsidRPr="00815C48">
          <w:rPr>
            <w:rStyle w:val="Hyperlink"/>
          </w:rPr>
          <w:t>http://onlinepubs.trb.org/onlinepubs/nchrp/nchrp_rpt_673.pdf</w:t>
        </w:r>
      </w:hyperlink>
      <w:r>
        <w:t>.</w:t>
      </w:r>
    </w:p>
    <w:p w:rsidR="00543531" w:rsidRDefault="00543531" w:rsidP="00543531">
      <w:pPr>
        <w:pStyle w:val="APTechParagraph"/>
        <w:spacing w:after="240"/>
      </w:pPr>
      <w:r w:rsidRPr="00B201B0">
        <w:t xml:space="preserve">American Association for State Highway and Transportation Officials (AASHTO).  2009.  </w:t>
      </w:r>
      <w:r w:rsidRPr="00B201B0">
        <w:rPr>
          <w:i/>
        </w:rPr>
        <w:t>Standard Specification for Performance-Graded Asphalt Binder</w:t>
      </w:r>
      <w:r w:rsidRPr="00B201B0">
        <w:t>.  AASHTO M 320-09.  American Association for State Highway and Transportation Officials, Washington DC.</w:t>
      </w:r>
      <w:r w:rsidR="00826BDD">
        <w:t xml:space="preserve"> Used by permission.</w:t>
      </w:r>
    </w:p>
    <w:p w:rsidR="00D57782" w:rsidRDefault="00D57782" w:rsidP="00D57782">
      <w:pPr>
        <w:pStyle w:val="APTechParagraph"/>
        <w:spacing w:after="240"/>
      </w:pPr>
      <w:r w:rsidRPr="007D5522">
        <w:t>American Concrete Institute (ACI).  2008</w:t>
      </w:r>
      <w:r>
        <w:t>a</w:t>
      </w:r>
      <w:r w:rsidRPr="007D5522">
        <w:t xml:space="preserve">.  </w:t>
      </w:r>
      <w:r>
        <w:rPr>
          <w:i/>
        </w:rPr>
        <w:t>Guide to Durable Concrete</w:t>
      </w:r>
      <w:r w:rsidRPr="007D5522">
        <w:t xml:space="preserve">.  </w:t>
      </w:r>
      <w:r>
        <w:t xml:space="preserve">ACI 201.2R-08.  </w:t>
      </w:r>
      <w:r w:rsidRPr="007D5522">
        <w:t>American Concrete Institute, Farmington Hills, MI.</w:t>
      </w:r>
    </w:p>
    <w:p w:rsidR="00543531" w:rsidRDefault="00543531" w:rsidP="00543531">
      <w:pPr>
        <w:pStyle w:val="APTechParagraph"/>
        <w:spacing w:after="240"/>
      </w:pPr>
      <w:r w:rsidRPr="007D5522">
        <w:t>American Concrete Institute (ACI).  2008</w:t>
      </w:r>
      <w:r w:rsidR="00D57782">
        <w:t>b</w:t>
      </w:r>
      <w:r w:rsidRPr="007D5522">
        <w:t xml:space="preserve">.  </w:t>
      </w:r>
      <w:r w:rsidRPr="007D5522">
        <w:rPr>
          <w:i/>
        </w:rPr>
        <w:t>Building Code Requirements for Structural Concrete</w:t>
      </w:r>
      <w:r w:rsidRPr="007D5522">
        <w:t>.  American Concrete Institute, Farmington Hills, MI.</w:t>
      </w:r>
    </w:p>
    <w:p w:rsidR="00543531" w:rsidRDefault="00543531" w:rsidP="00543531">
      <w:pPr>
        <w:pStyle w:val="APTechParagraph"/>
        <w:spacing w:after="240"/>
      </w:pPr>
      <w:r>
        <w:t xml:space="preserve">Asphalt Institute.  2007.  </w:t>
      </w:r>
      <w:r w:rsidRPr="00AB6CA2">
        <w:rPr>
          <w:i/>
        </w:rPr>
        <w:t>The Asphalt Handbook</w:t>
      </w:r>
      <w:r>
        <w:t>.  MS-4.  Asphalt Institute, Lexington, Kentucky.</w:t>
      </w:r>
    </w:p>
    <w:p w:rsidR="000549BC" w:rsidRDefault="000549BC" w:rsidP="000549BC">
      <w:pPr>
        <w:pStyle w:val="APTechParagraph"/>
        <w:spacing w:after="240"/>
      </w:pPr>
      <w:r>
        <w:t xml:space="preserve">Bonaquist, R. F., D. W. Christensen, and W. Stump.  2011.  </w:t>
      </w:r>
      <w:r>
        <w:rPr>
          <w:i/>
        </w:rPr>
        <w:t>Simple Performance Tester for Superpave Mix Design: First-Article Development and Evaluation.</w:t>
      </w:r>
      <w:r>
        <w:t xml:space="preserve">  NCHRP Report 513.  Transportation Research Board, Washington, DC.  Available online at:  </w:t>
      </w:r>
      <w:hyperlink r:id="rId121" w:history="1">
        <w:r w:rsidRPr="00815C48">
          <w:rPr>
            <w:rStyle w:val="Hyperlink"/>
          </w:rPr>
          <w:t>http://onlinepubs.trb.org/onlinepubs/nchrp/nchrp_rpt_513.pdf</w:t>
        </w:r>
      </w:hyperlink>
      <w:r>
        <w:t>.</w:t>
      </w:r>
    </w:p>
    <w:p w:rsidR="00543531" w:rsidRDefault="00543531" w:rsidP="00543531">
      <w:pPr>
        <w:spacing w:after="240"/>
      </w:pPr>
      <w:r>
        <w:t xml:space="preserve">Cement Association of Canada (CAC).  2009.  </w:t>
      </w:r>
      <w:r>
        <w:rPr>
          <w:i/>
          <w:iCs/>
        </w:rPr>
        <w:t>Backgrounder: Portland-Limestone Cement</w:t>
      </w:r>
      <w:r>
        <w:t xml:space="preserve">.  Cement Association of Canada. Ottawa, Ontario, Canada.  Available online at: </w:t>
      </w:r>
      <w:hyperlink r:id="rId122" w:history="1">
        <w:r>
          <w:rPr>
            <w:rStyle w:val="Hyperlink"/>
          </w:rPr>
          <w:t>http://www.cement.ca/images/stories/plc_bkgndr-_eng-_sept._1_2009.pdf</w:t>
        </w:r>
      </w:hyperlink>
      <w:r>
        <w:t>.</w:t>
      </w:r>
    </w:p>
    <w:p w:rsidR="00543531" w:rsidRDefault="00543531" w:rsidP="00543531">
      <w:pPr>
        <w:spacing w:after="240"/>
        <w:rPr>
          <w:color w:val="FF0000"/>
        </w:rPr>
      </w:pPr>
      <w:r w:rsidRPr="00C94A98">
        <w:t xml:space="preserve">Federal Highway Administration (FHWA).  2010.  </w:t>
      </w:r>
      <w:r w:rsidRPr="00C94A98">
        <w:rPr>
          <w:i/>
          <w:iCs/>
        </w:rPr>
        <w:t>Superpave Mix Design and Gyratory Compaction Levels</w:t>
      </w:r>
      <w:r w:rsidRPr="00C94A98">
        <w:t>.  FHWA-HIF-11-031.  Federal Highway Administration, Washington, DC.  Available online at:</w:t>
      </w:r>
      <w:r>
        <w:rPr>
          <w:color w:val="FF0000"/>
        </w:rPr>
        <w:t xml:space="preserve">  </w:t>
      </w:r>
      <w:hyperlink r:id="rId123" w:history="1">
        <w:r>
          <w:rPr>
            <w:rStyle w:val="Hyperlink"/>
          </w:rPr>
          <w:t>http://www.fhwa.dot.gov/pavement/materials/pubs/hif11031/hif11031.pdf</w:t>
        </w:r>
      </w:hyperlink>
      <w:r w:rsidRPr="00DD7A56">
        <w:t>.</w:t>
      </w:r>
    </w:p>
    <w:p w:rsidR="003F7251" w:rsidRDefault="003F7251" w:rsidP="003F7251">
      <w:pPr>
        <w:spacing w:after="240"/>
      </w:pPr>
      <w:r w:rsidRPr="00C94A98">
        <w:t>Federal Highway Administration (FHWA).</w:t>
      </w:r>
      <w:r>
        <w:t xml:space="preserve"> </w:t>
      </w:r>
      <w:r w:rsidRPr="00C94A98">
        <w:t xml:space="preserve"> </w:t>
      </w:r>
      <w:r>
        <w:t>1978</w:t>
      </w:r>
      <w:r w:rsidRPr="00C94A98">
        <w:t>.</w:t>
      </w:r>
      <w:r>
        <w:t xml:space="preserve"> </w:t>
      </w:r>
      <w:r w:rsidRPr="00C94A98">
        <w:t xml:space="preserve"> </w:t>
      </w:r>
      <w:r>
        <w:rPr>
          <w:i/>
          <w:iCs/>
        </w:rPr>
        <w:t>Predictive Design Procedures, VESYS Users Manual</w:t>
      </w:r>
      <w:r w:rsidRPr="00C94A98">
        <w:t>.</w:t>
      </w:r>
      <w:r>
        <w:t xml:space="preserve"> </w:t>
      </w:r>
      <w:r w:rsidRPr="00C94A98">
        <w:t xml:space="preserve"> FHWA-</w:t>
      </w:r>
      <w:r>
        <w:t>RD</w:t>
      </w:r>
      <w:r w:rsidRPr="00C94A98">
        <w:t>-</w:t>
      </w:r>
      <w:r>
        <w:t>77</w:t>
      </w:r>
      <w:r w:rsidRPr="00C94A98">
        <w:t>-</w:t>
      </w:r>
      <w:r>
        <w:t>154</w:t>
      </w:r>
      <w:r w:rsidRPr="00C94A98">
        <w:t>.</w:t>
      </w:r>
      <w:r>
        <w:t xml:space="preserve"> </w:t>
      </w:r>
      <w:r w:rsidRPr="00C94A98">
        <w:t xml:space="preserve"> Federal Highway Administration, Washington, DC.</w:t>
      </w:r>
      <w:r>
        <w:t xml:space="preserve"> </w:t>
      </w:r>
      <w:r w:rsidRPr="00C94A98">
        <w:t xml:space="preserve"> Available online at:</w:t>
      </w:r>
      <w:r>
        <w:t xml:space="preserve"> </w:t>
      </w:r>
      <w:hyperlink r:id="rId124" w:history="1">
        <w:r w:rsidRPr="005F6BAA">
          <w:rPr>
            <w:rStyle w:val="Hyperlink"/>
          </w:rPr>
          <w:t>http://ntl.bts.gov/lib/34000/34000/34083/FHWA-RD-77-154.pdf</w:t>
        </w:r>
      </w:hyperlink>
      <w:r>
        <w:t>.</w:t>
      </w:r>
    </w:p>
    <w:p w:rsidR="00513D8A" w:rsidRPr="00513D8A" w:rsidRDefault="00513D8A" w:rsidP="00543531">
      <w:pPr>
        <w:spacing w:after="240"/>
        <w:rPr>
          <w:color w:val="000000"/>
          <w:szCs w:val="24"/>
        </w:rPr>
      </w:pPr>
      <w:r w:rsidRPr="00513D8A">
        <w:rPr>
          <w:color w:val="000000"/>
          <w:szCs w:val="24"/>
        </w:rPr>
        <w:t>Fuller, W.</w:t>
      </w:r>
      <w:r w:rsidR="00CC33B0">
        <w:rPr>
          <w:color w:val="000000"/>
          <w:szCs w:val="24"/>
        </w:rPr>
        <w:t xml:space="preserve"> </w:t>
      </w:r>
      <w:r w:rsidRPr="00513D8A">
        <w:rPr>
          <w:color w:val="000000"/>
          <w:szCs w:val="24"/>
        </w:rPr>
        <w:t xml:space="preserve">B. and </w:t>
      </w:r>
      <w:r w:rsidR="00CC33B0">
        <w:rPr>
          <w:color w:val="000000"/>
          <w:szCs w:val="24"/>
        </w:rPr>
        <w:t xml:space="preserve">S. E. </w:t>
      </w:r>
      <w:r w:rsidRPr="00513D8A">
        <w:rPr>
          <w:color w:val="000000"/>
          <w:szCs w:val="24"/>
        </w:rPr>
        <w:t xml:space="preserve">Thompson. </w:t>
      </w:r>
      <w:r w:rsidR="00CC33B0">
        <w:rPr>
          <w:color w:val="000000"/>
          <w:szCs w:val="24"/>
        </w:rPr>
        <w:t xml:space="preserve"> </w:t>
      </w:r>
      <w:r w:rsidRPr="00513D8A">
        <w:rPr>
          <w:color w:val="000000"/>
          <w:szCs w:val="24"/>
        </w:rPr>
        <w:t>1907</w:t>
      </w:r>
      <w:r w:rsidR="00CC33B0">
        <w:rPr>
          <w:color w:val="000000"/>
          <w:szCs w:val="24"/>
        </w:rPr>
        <w:t xml:space="preserve">. </w:t>
      </w:r>
      <w:r w:rsidRPr="00513D8A">
        <w:rPr>
          <w:color w:val="000000"/>
          <w:szCs w:val="24"/>
        </w:rPr>
        <w:t xml:space="preserve"> The Laws of Proportioning Concrete. </w:t>
      </w:r>
      <w:r w:rsidR="00CC33B0">
        <w:rPr>
          <w:color w:val="000000"/>
          <w:szCs w:val="24"/>
        </w:rPr>
        <w:t xml:space="preserve"> </w:t>
      </w:r>
      <w:r w:rsidRPr="00513D8A">
        <w:rPr>
          <w:i/>
          <w:iCs/>
          <w:color w:val="000000"/>
          <w:szCs w:val="24"/>
        </w:rPr>
        <w:t>Journal of Transportation Division</w:t>
      </w:r>
      <w:r w:rsidRPr="00513D8A">
        <w:rPr>
          <w:color w:val="000000"/>
          <w:szCs w:val="24"/>
        </w:rPr>
        <w:t xml:space="preserve">, vol. 59. </w:t>
      </w:r>
      <w:r w:rsidR="00CC33B0">
        <w:rPr>
          <w:color w:val="000000"/>
          <w:szCs w:val="24"/>
        </w:rPr>
        <w:t xml:space="preserve"> </w:t>
      </w:r>
      <w:r w:rsidRPr="00513D8A">
        <w:rPr>
          <w:color w:val="000000"/>
          <w:szCs w:val="24"/>
        </w:rPr>
        <w:t>American Society of Civil Engineers.</w:t>
      </w:r>
    </w:p>
    <w:p w:rsidR="00543531" w:rsidRPr="003169D5" w:rsidRDefault="00543531" w:rsidP="00543531">
      <w:pPr>
        <w:spacing w:after="240"/>
        <w:rPr>
          <w:i/>
        </w:rPr>
      </w:pPr>
      <w:r>
        <w:t xml:space="preserve">Harrington, D., F. Abdo, W. Adaska, and C. Hazaree.  2010.  </w:t>
      </w:r>
      <w:r>
        <w:rPr>
          <w:i/>
        </w:rPr>
        <w:t xml:space="preserve">Guide for Roller-Compacted Concrete Pavements. </w:t>
      </w:r>
      <w:r>
        <w:t xml:space="preserve"> SN 298.  Portland Cement Association, Skokie, IL.</w:t>
      </w:r>
    </w:p>
    <w:p w:rsidR="00543531" w:rsidRDefault="00543531" w:rsidP="00543531">
      <w:pPr>
        <w:spacing w:after="240"/>
        <w:rPr>
          <w:color w:val="000000"/>
        </w:rPr>
      </w:pPr>
      <w:r w:rsidRPr="00DF3F59">
        <w:t>Hattersley</w:t>
      </w:r>
      <w:r>
        <w:t xml:space="preserve">, S.  2009.  Accessed from </w:t>
      </w:r>
      <w:hyperlink r:id="rId125" w:history="1">
        <w:r w:rsidRPr="00DF3F59">
          <w:rPr>
            <w:rStyle w:val="Hyperlink"/>
          </w:rPr>
          <w:t>http://en.wikipedia.org/wiki/File:Pebbleswithquarzite.jpg</w:t>
        </w:r>
      </w:hyperlink>
      <w:r w:rsidRPr="00DF3F59">
        <w:t xml:space="preserve"> in accordance with the </w:t>
      </w:r>
      <w:r>
        <w:t>GNU Free Documentation License.</w:t>
      </w:r>
    </w:p>
    <w:p w:rsidR="00543531" w:rsidRDefault="00543531" w:rsidP="00543531">
      <w:pPr>
        <w:spacing w:after="240"/>
        <w:rPr>
          <w:color w:val="000000"/>
        </w:rPr>
      </w:pPr>
      <w:r>
        <w:rPr>
          <w:color w:val="000000"/>
        </w:rPr>
        <w:t xml:space="preserve">Hicks, J. K., M. Riley, G. Schumacher, R. Patel, and P. Sampson.  2009.  “Utilization of Recovered Materials for High Quality Cements and Products.”  </w:t>
      </w:r>
      <w:r>
        <w:rPr>
          <w:i/>
          <w:iCs/>
          <w:color w:val="000000"/>
        </w:rPr>
        <w:t>Proceedings</w:t>
      </w:r>
      <w:r>
        <w:rPr>
          <w:color w:val="000000"/>
        </w:rPr>
        <w:t>, 2009 World of Coal Ash Conference, Lexington, KY.</w:t>
      </w:r>
    </w:p>
    <w:p w:rsidR="00543531" w:rsidRPr="003F4EF0" w:rsidRDefault="00543531" w:rsidP="00543531">
      <w:pPr>
        <w:spacing w:after="240"/>
      </w:pPr>
      <w:r w:rsidRPr="003F4EF0">
        <w:t>Huber, G. A.</w:t>
      </w:r>
      <w:r>
        <w:t xml:space="preserve">  n.d</w:t>
      </w:r>
      <w:r w:rsidRPr="003F4EF0">
        <w:t>.</w:t>
      </w:r>
      <w:r w:rsidRPr="003F4EF0">
        <w:rPr>
          <w:i/>
          <w:iCs/>
        </w:rPr>
        <w:t xml:space="preserve">  Superpave Evaluation of Gradation.  </w:t>
      </w:r>
      <w:r w:rsidRPr="003F4EF0">
        <w:t xml:space="preserve">The Superpave Asphalt Research Program, University of Texas at Austin, Austin, TX.  Available online at:  </w:t>
      </w:r>
      <w:hyperlink r:id="rId126" w:history="1">
        <w:r w:rsidR="009B1373" w:rsidRPr="005F6BAA">
          <w:rPr>
            <w:rStyle w:val="Hyperlink"/>
          </w:rPr>
          <w:t>http://www.utexas.edu/research/superpave/articles/sp_grad1.html</w:t>
        </w:r>
      </w:hyperlink>
      <w:r w:rsidRPr="003F4EF0">
        <w:t>.</w:t>
      </w:r>
    </w:p>
    <w:p w:rsidR="00543531" w:rsidRDefault="00543531" w:rsidP="00543531">
      <w:pPr>
        <w:spacing w:after="240"/>
      </w:pPr>
      <w:r>
        <w:t xml:space="preserve">Kosmatka, S. H. and M. L. Wilson.  2011.  </w:t>
      </w:r>
      <w:r w:rsidRPr="00841197">
        <w:rPr>
          <w:i/>
        </w:rPr>
        <w:t>Design and Control of Concrete Mixtures</w:t>
      </w:r>
      <w:r>
        <w:t>.  EB001.  15th edition, Portland Cement Association, Skokie, Illinois.</w:t>
      </w:r>
    </w:p>
    <w:p w:rsidR="00012B49" w:rsidRPr="005A28F8" w:rsidRDefault="00012B49" w:rsidP="00543531">
      <w:pPr>
        <w:spacing w:after="240"/>
      </w:pPr>
      <w:r w:rsidRPr="00012B49">
        <w:t xml:space="preserve">Kosmatka, S.H., B. Kerkhoff, and W.C. Panarese. </w:t>
      </w:r>
      <w:r>
        <w:t xml:space="preserve"> </w:t>
      </w:r>
      <w:r w:rsidRPr="00012B49">
        <w:t xml:space="preserve">2002. </w:t>
      </w:r>
      <w:r>
        <w:t xml:space="preserve"> </w:t>
      </w:r>
      <w:r w:rsidRPr="00012B49">
        <w:rPr>
          <w:i/>
          <w:iCs/>
        </w:rPr>
        <w:t>Design and Control of Concrete Mixtures</w:t>
      </w:r>
      <w:r>
        <w:t xml:space="preserve">.  </w:t>
      </w:r>
      <w:r w:rsidRPr="00012B49">
        <w:t xml:space="preserve">EB-001. </w:t>
      </w:r>
      <w:r>
        <w:t xml:space="preserve"> </w:t>
      </w:r>
      <w:r w:rsidRPr="00012B49">
        <w:t xml:space="preserve">14th Edition. </w:t>
      </w:r>
      <w:r>
        <w:t xml:space="preserve"> </w:t>
      </w:r>
      <w:r w:rsidRPr="00012B49">
        <w:t>Portland C</w:t>
      </w:r>
      <w:r>
        <w:t xml:space="preserve">ement Association, Skokie, IL.  </w:t>
      </w:r>
      <w:r w:rsidRPr="00012B49">
        <w:t>Revised 2008.</w:t>
      </w:r>
    </w:p>
    <w:p w:rsidR="00543531" w:rsidRDefault="00543531" w:rsidP="00543531">
      <w:pPr>
        <w:spacing w:after="240"/>
      </w:pPr>
      <w:r>
        <w:t xml:space="preserve">Mataschei, T., B. Lothenback, F. Glasser.  2007.  “The Role of Calcium Carbonate in Cement Hydration.”  </w:t>
      </w:r>
      <w:r>
        <w:rPr>
          <w:i/>
        </w:rPr>
        <w:t>Cement and Concrete Research.</w:t>
      </w:r>
      <w:r>
        <w:t xml:space="preserve">  Vol. 37, No. 4.  Elsevier, Oxford, UK.</w:t>
      </w:r>
    </w:p>
    <w:p w:rsidR="00543531" w:rsidRDefault="00543531" w:rsidP="009B1373">
      <w:pPr>
        <w:spacing w:after="240"/>
      </w:pPr>
      <w:r>
        <w:t xml:space="preserve">National Asphalt Pavement Association (NAPA).  2010.  </w:t>
      </w:r>
      <w:r w:rsidRPr="00EA4BAF">
        <w:rPr>
          <w:i/>
        </w:rPr>
        <w:t>Virtual Superpave Laboratory</w:t>
      </w:r>
      <w:r>
        <w:t>.  ED-001.  National Asphalt Pavement Association, Lanham, MD.</w:t>
      </w:r>
    </w:p>
    <w:p w:rsidR="002558E1" w:rsidRPr="002558E1" w:rsidRDefault="002558E1" w:rsidP="009B1373">
      <w:pPr>
        <w:spacing w:after="240"/>
        <w:rPr>
          <w:color w:val="7030A0"/>
        </w:rPr>
      </w:pPr>
      <w:r>
        <w:rPr>
          <w:color w:val="7030A0"/>
        </w:rPr>
        <w:t xml:space="preserve">National Cooperative Highway Research Program (NCHRP). 2004. </w:t>
      </w:r>
      <w:r w:rsidRPr="002558E1">
        <w:rPr>
          <w:i/>
          <w:color w:val="7030A0"/>
        </w:rPr>
        <w:t>“Harmonized Test methods for Laboratory Determination of resilient Modulus for Flexible Pavement Design”</w:t>
      </w:r>
      <w:r>
        <w:rPr>
          <w:color w:val="7030A0"/>
        </w:rPr>
        <w:t xml:space="preserve"> . NCHRP Project 1-28A</w:t>
      </w:r>
    </w:p>
    <w:p w:rsidR="00543531" w:rsidRDefault="00543531" w:rsidP="009B1373">
      <w:pPr>
        <w:pStyle w:val="Default"/>
        <w:autoSpaceDE/>
        <w:autoSpaceDN/>
        <w:adjustRightInd/>
        <w:spacing w:after="240"/>
      </w:pPr>
      <w:r>
        <w:t xml:space="preserve">Portland Cement Association (PCA).  1992.  PCA Soil Primer.  EB007.  Portland Cement Association, Skokie, IL.  42 p. </w:t>
      </w:r>
    </w:p>
    <w:p w:rsidR="00543531" w:rsidRDefault="00543531" w:rsidP="009B1373">
      <w:pPr>
        <w:pStyle w:val="Default"/>
        <w:autoSpaceDE/>
        <w:autoSpaceDN/>
        <w:adjustRightInd/>
        <w:spacing w:after="240"/>
      </w:pPr>
      <w:r>
        <w:t xml:space="preserve">Public Domain 2006. </w:t>
      </w:r>
      <w:r w:rsidRPr="000B7149">
        <w:rPr>
          <w:i/>
        </w:rPr>
        <w:t>Concrete Compression Testing</w:t>
      </w:r>
      <w:r>
        <w:t xml:space="preserve">.  Accessed 5/12/11.  </w:t>
      </w:r>
      <w:hyperlink r:id="rId127" w:history="1">
        <w:r w:rsidRPr="00D62B02">
          <w:rPr>
            <w:rStyle w:val="Hyperlink"/>
          </w:rPr>
          <w:t>http://en.wikipedia.org/wiki/File:Concrete_Compression_Testing.jpg</w:t>
        </w:r>
      </w:hyperlink>
      <w:r w:rsidR="009B1373">
        <w:t>.</w:t>
      </w:r>
    </w:p>
    <w:p w:rsidR="00543531" w:rsidRDefault="00543531" w:rsidP="00543531">
      <w:pPr>
        <w:spacing w:after="240"/>
      </w:pPr>
      <w:r>
        <w:t xml:space="preserve">Shilstone, Sr., J. M.  1990.  “Concrete Mixture Optimization.”  </w:t>
      </w:r>
      <w:r>
        <w:rPr>
          <w:i/>
        </w:rPr>
        <w:t xml:space="preserve">Concrete International.  </w:t>
      </w:r>
      <w:r w:rsidRPr="003E23DC">
        <w:t>Vol.</w:t>
      </w:r>
      <w:r>
        <w:t xml:space="preserve"> 12, No. 6.  American Concrete Institute, Farmington Hills, MI.</w:t>
      </w:r>
    </w:p>
    <w:p w:rsidR="00543531" w:rsidRDefault="00543531" w:rsidP="009B1373">
      <w:pPr>
        <w:spacing w:after="240"/>
      </w:pPr>
      <w:r w:rsidRPr="004940F3">
        <w:t xml:space="preserve">Taylor, P. C., S. H. Kosmatka, G. F. Voigt, M. E. Ayers, A. Davis, G. J. Fick, J. Gajda, J. Grove, D. Harrington, B. Kerkhoff, C. Ozyildirim, J. M. Shilstone, </w:t>
      </w:r>
      <w:r>
        <w:t>K. D. Smith</w:t>
      </w:r>
      <w:r w:rsidRPr="004940F3">
        <w:t xml:space="preserve">, S. M. Tarr, P. D. Tennis, T. J. Van Dam, and S. Waalkes.  2006.  </w:t>
      </w:r>
      <w:r w:rsidRPr="004940F3">
        <w:rPr>
          <w:i/>
        </w:rPr>
        <w:t>Integrated Materials and Construction Practices for Concrete Pavement: A State of the Practice Manual</w:t>
      </w:r>
      <w:r w:rsidRPr="004940F3">
        <w:t xml:space="preserve">.  </w:t>
      </w:r>
      <w:r>
        <w:t xml:space="preserve">FHWA-HIF-07-004.  Federal Highway Administration, Washington, DC.  Available online at:  </w:t>
      </w:r>
      <w:hyperlink r:id="rId128" w:history="1">
        <w:r w:rsidRPr="00AE1308">
          <w:rPr>
            <w:rStyle w:val="Hyperlink"/>
          </w:rPr>
          <w:t>http://www.cptechcenter.org/publications/imcp/index.cfm</w:t>
        </w:r>
      </w:hyperlink>
      <w:r>
        <w:t>.</w:t>
      </w:r>
    </w:p>
    <w:p w:rsidR="00543531" w:rsidRDefault="00543531" w:rsidP="00543531">
      <w:pPr>
        <w:autoSpaceDE w:val="0"/>
        <w:autoSpaceDN w:val="0"/>
        <w:adjustRightInd w:val="0"/>
        <w:spacing w:after="240"/>
      </w:pPr>
      <w:r>
        <w:t xml:space="preserve">Tennis, P. D. and J. M. Melander.  2010.  “U.S. Cement Specifications.”  </w:t>
      </w:r>
      <w:r w:rsidRPr="00D36731">
        <w:rPr>
          <w:i/>
        </w:rPr>
        <w:t>Concrete International</w:t>
      </w:r>
      <w:r>
        <w:t>, Volume 32, Number 1.  American Concrete Institute, Farmington Hills, MI.</w:t>
      </w:r>
    </w:p>
    <w:p w:rsidR="00543531" w:rsidRDefault="00543531" w:rsidP="00543531">
      <w:pPr>
        <w:autoSpaceDE w:val="0"/>
        <w:autoSpaceDN w:val="0"/>
        <w:adjustRightInd w:val="0"/>
        <w:spacing w:after="240"/>
      </w:pPr>
      <w:r>
        <w:t xml:space="preserve">Thomas, M. D. A., D. Hooton, K. Cail, B. A. Smith, J. De Wal, and K. G. Kazanis.  2010.  “Concrete Produced with Portland Limestone Cement.” </w:t>
      </w:r>
      <w:r>
        <w:rPr>
          <w:i/>
        </w:rPr>
        <w:t xml:space="preserve">Concrete International, </w:t>
      </w:r>
      <w:r>
        <w:t>Vol. 32, Number 1.  American Concrete Institute, Farmington Hills, MI.</w:t>
      </w:r>
    </w:p>
    <w:p w:rsidR="00543531" w:rsidRDefault="00543531" w:rsidP="00543531">
      <w:pPr>
        <w:spacing w:after="240"/>
      </w:pPr>
      <w:r>
        <w:t xml:space="preserve">Thomas, M. D. A., D. Fournier, and K. Folliard.  2008.  </w:t>
      </w:r>
      <w:r>
        <w:rPr>
          <w:i/>
        </w:rPr>
        <w:t>Report on Determining the Reactivity of Concrete Aggregates and Selecting Appropriate Measures for Preventing Deleterious Expansion in New Concrete Construction</w:t>
      </w:r>
      <w:r>
        <w:t xml:space="preserve">.  FHWA-HIF-09-001.  Federal Highway Administration, Washington, DC.  Available online at:  </w:t>
      </w:r>
      <w:hyperlink r:id="rId129" w:history="1">
        <w:r w:rsidR="00D91B6B" w:rsidRPr="00815C48">
          <w:rPr>
            <w:rStyle w:val="Hyperlink"/>
          </w:rPr>
          <w:t>http://www.fhwa.dot.gov/pavement/concrete/asr/hif09001/hif09001.pdf</w:t>
        </w:r>
      </w:hyperlink>
      <w:r>
        <w:t>.</w:t>
      </w:r>
    </w:p>
    <w:p w:rsidR="00543531" w:rsidRPr="00F52E94" w:rsidRDefault="00543531" w:rsidP="001A536F">
      <w:pPr>
        <w:pStyle w:val="Caption"/>
        <w:jc w:val="left"/>
        <w:rPr>
          <w:b/>
          <w:color w:val="FF0000"/>
          <w:szCs w:val="24"/>
        </w:rPr>
      </w:pPr>
      <w:r w:rsidRPr="00F52E94">
        <w:rPr>
          <w:szCs w:val="24"/>
        </w:rPr>
        <w:t xml:space="preserve">University of New Mexico (UNM).  n.d.  </w:t>
      </w:r>
      <w:r w:rsidRPr="00F52E94">
        <w:rPr>
          <w:i/>
          <w:iCs/>
          <w:szCs w:val="24"/>
        </w:rPr>
        <w:t>Splitting Tensile Strength of Cylindrical Concrete Specimens</w:t>
      </w:r>
      <w:r w:rsidRPr="00F52E94">
        <w:rPr>
          <w:szCs w:val="24"/>
        </w:rPr>
        <w:t>.  Portland Cement Concrete Laboratory, University of New Mexico, Albuquerque, NM.  Available online at:</w:t>
      </w:r>
      <w:r w:rsidRPr="00F52E94">
        <w:rPr>
          <w:color w:val="FF0000"/>
          <w:szCs w:val="24"/>
        </w:rPr>
        <w:t xml:space="preserve">  </w:t>
      </w:r>
      <w:hyperlink r:id="rId130" w:history="1">
        <w:r w:rsidRPr="00F52E94">
          <w:rPr>
            <w:rStyle w:val="Hyperlink"/>
            <w:szCs w:val="24"/>
          </w:rPr>
          <w:t>http://civilx.unm.edu/laboratories_ss/pcc/splittensile.html</w:t>
        </w:r>
      </w:hyperlink>
      <w:r w:rsidRPr="00F52E94">
        <w:rPr>
          <w:szCs w:val="24"/>
        </w:rPr>
        <w:t>.</w:t>
      </w:r>
    </w:p>
    <w:p w:rsidR="00543531" w:rsidRDefault="00543531" w:rsidP="00543531">
      <w:pPr>
        <w:spacing w:after="240"/>
        <w:rPr>
          <w:color w:val="FF0000"/>
        </w:rPr>
      </w:pPr>
      <w:r w:rsidRPr="00F10670">
        <w:t xml:space="preserve">University </w:t>
      </w:r>
      <w:r>
        <w:t>of New Mexico (UNM).  2011</w:t>
      </w:r>
      <w:r w:rsidRPr="00F10670">
        <w:t xml:space="preserve">.  </w:t>
      </w:r>
      <w:r w:rsidRPr="00F10670">
        <w:rPr>
          <w:i/>
          <w:iCs/>
        </w:rPr>
        <w:t>Flexural Strength of Concrete</w:t>
      </w:r>
      <w:r w:rsidRPr="00F10670">
        <w:t>.  Portland Cement Concrete Laboratory, University of New Mexico, Albuquerque, NM.  Available online at:</w:t>
      </w:r>
      <w:r>
        <w:rPr>
          <w:color w:val="FF0000"/>
        </w:rPr>
        <w:t xml:space="preserve">  </w:t>
      </w:r>
      <w:hyperlink r:id="rId131" w:history="1">
        <w:r>
          <w:rPr>
            <w:rStyle w:val="Hyperlink"/>
          </w:rPr>
          <w:t>http://civilx.unm.edu/laboratories_ss/pcc/flexural.htm</w:t>
        </w:r>
      </w:hyperlink>
      <w:r w:rsidRPr="00F10670">
        <w:t>.</w:t>
      </w:r>
    </w:p>
    <w:p w:rsidR="00543531" w:rsidRDefault="00543531" w:rsidP="00543531">
      <w:pPr>
        <w:spacing w:after="240"/>
        <w:rPr>
          <w:color w:val="000000"/>
        </w:rPr>
      </w:pPr>
      <w:r w:rsidRPr="00910F2C">
        <w:rPr>
          <w:color w:val="000000"/>
        </w:rPr>
        <w:t>Van Dam, T. and P. Taylor</w:t>
      </w:r>
      <w:r>
        <w:rPr>
          <w:color w:val="000000"/>
        </w:rPr>
        <w:t xml:space="preserve">.  2009.  </w:t>
      </w:r>
      <w:r>
        <w:rPr>
          <w:i/>
          <w:color w:val="000000"/>
        </w:rPr>
        <w:t>Building Sustainable Pavements w</w:t>
      </w:r>
      <w:r w:rsidRPr="00910F2C">
        <w:rPr>
          <w:i/>
          <w:color w:val="000000"/>
        </w:rPr>
        <w:t>ith Concrete: Briefing Document</w:t>
      </w:r>
      <w:r w:rsidRPr="00A61D7F">
        <w:rPr>
          <w:color w:val="000000"/>
        </w:rPr>
        <w:t xml:space="preserve">.  </w:t>
      </w:r>
      <w:r w:rsidRPr="00910F2C">
        <w:rPr>
          <w:color w:val="000000"/>
        </w:rPr>
        <w:t>Concrete Pavement Road Map</w:t>
      </w:r>
      <w:r>
        <w:rPr>
          <w:color w:val="000000"/>
        </w:rPr>
        <w:t>, Track 13 Concrete Pavement Sustainability</w:t>
      </w:r>
      <w:r w:rsidRPr="00910F2C">
        <w:rPr>
          <w:color w:val="000000"/>
        </w:rPr>
        <w:t xml:space="preserve">. </w:t>
      </w:r>
      <w:r>
        <w:rPr>
          <w:color w:val="000000"/>
        </w:rPr>
        <w:t xml:space="preserve"> </w:t>
      </w:r>
      <w:r w:rsidRPr="00910F2C">
        <w:rPr>
          <w:color w:val="000000"/>
        </w:rPr>
        <w:t xml:space="preserve">National Center for Concrete Pavement Technology, </w:t>
      </w:r>
      <w:r>
        <w:rPr>
          <w:color w:val="000000"/>
        </w:rPr>
        <w:t xml:space="preserve">Ames, IA.  Available online at:  </w:t>
      </w:r>
      <w:hyperlink r:id="rId132" w:history="1">
        <w:r w:rsidRPr="00AE1308">
          <w:rPr>
            <w:rStyle w:val="Hyperlink"/>
          </w:rPr>
          <w:t>http://www.cproadmap.org/publications/sustainability_briefing.pdf</w:t>
        </w:r>
      </w:hyperlink>
      <w:r>
        <w:rPr>
          <w:color w:val="000000"/>
        </w:rPr>
        <w:t>.</w:t>
      </w:r>
    </w:p>
    <w:p w:rsidR="00543531" w:rsidRDefault="00543531" w:rsidP="00543531">
      <w:pPr>
        <w:pStyle w:val="APTechParagraph"/>
        <w:spacing w:after="240"/>
      </w:pPr>
      <w:r>
        <w:t xml:space="preserve">Van Dam, T., B. Smartz, and T. Laker.  2010.  “Use of Performance Cements (ASTM C1157) in Colorado and Utah: Laboratory Durability Testing and Case Studies.”  </w:t>
      </w:r>
      <w:r w:rsidRPr="00664535">
        <w:rPr>
          <w:i/>
        </w:rPr>
        <w:t>Proceedings</w:t>
      </w:r>
      <w:r>
        <w:t xml:space="preserve">, </w:t>
      </w:r>
      <w:r w:rsidRPr="00F52E94">
        <w:rPr>
          <w:i/>
        </w:rPr>
        <w:t>International Conference on Sustainable Concrete Pavements</w:t>
      </w:r>
      <w:r>
        <w:t>.  Sacramento, CA.</w:t>
      </w:r>
    </w:p>
    <w:p w:rsidR="00543531" w:rsidRDefault="00543531" w:rsidP="00543531">
      <w:pPr>
        <w:autoSpaceDE w:val="0"/>
        <w:autoSpaceDN w:val="0"/>
        <w:adjustRightInd w:val="0"/>
        <w:spacing w:after="240"/>
      </w:pPr>
      <w:r>
        <w:t xml:space="preserve">Van Dam, T., K. R. Peterson, L. L. Sutter, A. Panguluri, J. Sytsma, N. Buch, R. Kowli, and P. Dearaju.  2005.  </w:t>
      </w:r>
      <w:r>
        <w:rPr>
          <w:i/>
        </w:rPr>
        <w:t>Guidelines for Early-Opening-to-Traffic Portland Cement Concrete for Pavement Rehabilitation.</w:t>
      </w:r>
      <w:r>
        <w:t xml:space="preserve">  NCHRP Report No. 540.  </w:t>
      </w:r>
      <w:r w:rsidR="00AF1765">
        <w:t>Transportation Research Board</w:t>
      </w:r>
      <w:r>
        <w:t xml:space="preserve">, Washington, DC.  Available online at:  </w:t>
      </w:r>
      <w:hyperlink r:id="rId133" w:history="1">
        <w:r w:rsidR="00D91B6B" w:rsidRPr="00815C48">
          <w:rPr>
            <w:rStyle w:val="Hyperlink"/>
          </w:rPr>
          <w:t>http://onlinepubs.trb.org/onlinepubs/nchrp/nchrp_rpt_540.pdf</w:t>
        </w:r>
      </w:hyperlink>
      <w:r>
        <w:t>.</w:t>
      </w:r>
    </w:p>
    <w:p w:rsidR="00543531" w:rsidRPr="00A740BF" w:rsidRDefault="00543531" w:rsidP="00543531">
      <w:pPr>
        <w:pStyle w:val="APTechParagraph"/>
        <w:spacing w:after="240"/>
      </w:pPr>
      <w:r>
        <w:t xml:space="preserve">Whiting, D. A., and M. A. Nagi.  1998.  </w:t>
      </w:r>
      <w:r>
        <w:rPr>
          <w:i/>
        </w:rPr>
        <w:t>Manual on Control of Air Content in Concrete.</w:t>
      </w:r>
      <w:r>
        <w:t xml:space="preserve">  Engineering Bulletin 116, Portland Cement Association, Skokie, IL.</w:t>
      </w:r>
    </w:p>
    <w:p w:rsidR="00AF1765" w:rsidRDefault="00AF1765" w:rsidP="00AF1765">
      <w:pPr>
        <w:pStyle w:val="APTechParagraph"/>
        <w:spacing w:after="240"/>
      </w:pPr>
      <w:r>
        <w:t xml:space="preserve">Witczak, M. W.  2007.  </w:t>
      </w:r>
      <w:r>
        <w:rPr>
          <w:i/>
        </w:rPr>
        <w:t>Specification Criteria for Simple Performance Tests for Rutting.</w:t>
      </w:r>
      <w:r>
        <w:t xml:space="preserve">  NCHRP Report 580.  Transportation Research Board, Washington, DC.  Available online at:  </w:t>
      </w:r>
      <w:hyperlink r:id="rId134" w:history="1">
        <w:r w:rsidRPr="00815C48">
          <w:rPr>
            <w:rStyle w:val="Hyperlink"/>
          </w:rPr>
          <w:t>http://onlinepubs.trb.org/onlinepubs/nchrp/nchrp_rpt_580.pdf</w:t>
        </w:r>
      </w:hyperlink>
      <w:r>
        <w:t>.</w:t>
      </w:r>
    </w:p>
    <w:p w:rsidR="00543531" w:rsidRDefault="001A558D" w:rsidP="0088557A">
      <w:pPr>
        <w:pStyle w:val="APTechParagraph"/>
      </w:pPr>
      <w:r>
        <w:t xml:space="preserve">Yu, H. and S. Shen.  2011.  </w:t>
      </w:r>
      <w:r>
        <w:rPr>
          <w:i/>
        </w:rPr>
        <w:t>A Performance Based Aggregate Gradation Design and Evaluation Method for Washington Asphalt Mixtures.</w:t>
      </w:r>
      <w:r>
        <w:t xml:space="preserve">  TNW2011-10.  Federal Highway Administration, McLean, VA.  Available online at: </w:t>
      </w:r>
      <w:hyperlink r:id="rId135" w:history="1">
        <w:r w:rsidR="00D91B6B" w:rsidRPr="00815C48">
          <w:rPr>
            <w:rStyle w:val="Hyperlink"/>
          </w:rPr>
          <w:t>http://www.transnow.org/files/final-reports/TNW2011-10.pdf</w:t>
        </w:r>
      </w:hyperlink>
      <w:r>
        <w:t>.</w:t>
      </w:r>
    </w:p>
    <w:p w:rsidR="001A558D" w:rsidRPr="001A558D" w:rsidRDefault="001A558D" w:rsidP="0088557A">
      <w:pPr>
        <w:pStyle w:val="APTechParagraph"/>
      </w:pPr>
    </w:p>
    <w:sectPr w:rsidR="001A558D" w:rsidRPr="001A558D" w:rsidSect="00983B36">
      <w:headerReference w:type="default" r:id="rId136"/>
      <w:footerReference w:type="default" r:id="rId137"/>
      <w:pgSz w:w="12240" w:h="15840" w:code="1"/>
      <w:pgMar w:top="1152" w:right="1440" w:bottom="1008" w:left="1440" w:header="720" w:footer="720" w:gutter="0"/>
      <w:paperSrc w:first="7" w:other="7"/>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0251B" w:rsidRDefault="00F0251B">
      <w:r>
        <w:separator/>
      </w:r>
    </w:p>
  </w:endnote>
  <w:endnote w:type="continuationSeparator" w:id="0">
    <w:p w:rsidR="00F0251B" w:rsidRDefault="00F025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cript MT Bold">
    <w:panose1 w:val="03040602040607080904"/>
    <w:charset w:val="00"/>
    <w:family w:val="script"/>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Bold">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KGBHCG+TimesNewRoman">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Times-Bold">
    <w:panose1 w:val="00000000000000000000"/>
    <w:charset w:val="00"/>
    <w:family w:val="roman"/>
    <w:notTrueType/>
    <w:pitch w:val="default"/>
    <w:sig w:usb0="00000003" w:usb1="00000000" w:usb2="00000000" w:usb3="00000000" w:csb0="00000001" w:csb1="00000000"/>
  </w:font>
  <w:font w:name="Times-Roman">
    <w:panose1 w:val="00000000000000000000"/>
    <w:charset w:val="00"/>
    <w:family w:val="roman"/>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360A" w:rsidRDefault="000E360A">
    <w:pPr>
      <w:pBdr>
        <w:top w:val="single" w:sz="4" w:space="1" w:color="auto"/>
      </w:pBdr>
      <w:tabs>
        <w:tab w:val="center" w:pos="4680"/>
        <w:tab w:val="right" w:pos="9360"/>
      </w:tabs>
      <w:rPr>
        <w:rFonts w:ascii="Arial" w:hAnsi="Arial" w:cs="Arial"/>
        <w:sz w:val="20"/>
      </w:rPr>
    </w:pPr>
    <w:r>
      <w:rPr>
        <w:rFonts w:ascii="Arial" w:hAnsi="Arial" w:cs="Arial"/>
        <w:sz w:val="20"/>
      </w:rPr>
      <w:t>1-</w:t>
    </w:r>
    <w:r>
      <w:rPr>
        <w:rFonts w:ascii="Arial" w:hAnsi="Arial" w:cs="Arial"/>
        <w:sz w:val="20"/>
      </w:rPr>
      <w:fldChar w:fldCharType="begin"/>
    </w:r>
    <w:r>
      <w:rPr>
        <w:rFonts w:ascii="Arial" w:hAnsi="Arial" w:cs="Arial"/>
        <w:sz w:val="20"/>
      </w:rPr>
      <w:instrText xml:space="preserve"> PAGE </w:instrText>
    </w:r>
    <w:r>
      <w:rPr>
        <w:rFonts w:ascii="Arial" w:hAnsi="Arial" w:cs="Arial"/>
        <w:sz w:val="20"/>
      </w:rPr>
      <w:fldChar w:fldCharType="separate"/>
    </w:r>
    <w:r>
      <w:rPr>
        <w:rFonts w:ascii="Arial" w:hAnsi="Arial" w:cs="Arial"/>
        <w:noProof/>
        <w:sz w:val="20"/>
      </w:rPr>
      <w:t>2</w:t>
    </w:r>
    <w:r>
      <w:rPr>
        <w:rFonts w:ascii="Arial" w:hAnsi="Arial" w:cs="Arial"/>
        <w:sz w:val="20"/>
      </w:rPr>
      <w:fldChar w:fldCharType="end"/>
    </w:r>
    <w:r>
      <w:rPr>
        <w:rFonts w:ascii="Arial" w:hAnsi="Arial" w:cs="Arial"/>
        <w:sz w:val="20"/>
      </w:rPr>
      <w:tab/>
    </w:r>
    <w:r>
      <w:rPr>
        <w:rFonts w:ascii="Arial" w:hAnsi="Arial" w:cs="Arial"/>
        <w:sz w:val="20"/>
      </w:rPr>
      <w:tab/>
      <w:t>Applied Pavement Technology</w:t>
    </w:r>
    <w:r>
      <w:rPr>
        <w:rFonts w:ascii="Arial" w:hAnsi="Arial" w:cs="Arial"/>
        <w:sz w:val="20"/>
      </w:rPr>
      <w:tab/>
    </w:r>
    <w:r>
      <w:rPr>
        <w:rFonts w:ascii="Arial" w:hAnsi="Arial" w:cs="Arial"/>
        <w:sz w:val="20"/>
      </w:rPr>
      <w:tab/>
    </w:r>
  </w:p>
  <w:p w:rsidR="000E360A" w:rsidRDefault="000E360A"/>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360A" w:rsidRPr="00303D1E" w:rsidRDefault="000E360A" w:rsidP="0024038A">
    <w:pPr>
      <w:pStyle w:val="Footer"/>
      <w:pBdr>
        <w:top w:val="single" w:sz="4" w:space="1" w:color="auto"/>
      </w:pBdr>
      <w:tabs>
        <w:tab w:val="clear" w:pos="4320"/>
        <w:tab w:val="clear" w:pos="8640"/>
        <w:tab w:val="center" w:pos="4680"/>
        <w:tab w:val="right" w:pos="9360"/>
      </w:tabs>
      <w:rPr>
        <w:rFonts w:ascii="Arial" w:hAnsi="Arial" w:cs="Arial"/>
        <w:sz w:val="20"/>
      </w:rPr>
    </w:pPr>
    <w:r w:rsidRPr="008F435B">
      <w:rPr>
        <w:rFonts w:ascii="Arial" w:hAnsi="Arial" w:cs="Arial"/>
        <w:sz w:val="20"/>
      </w:rPr>
      <w:tab/>
    </w:r>
    <w:r>
      <w:rPr>
        <w:rFonts w:ascii="Arial" w:hAnsi="Arial" w:cs="Arial"/>
        <w:sz w:val="20"/>
      </w:rPr>
      <w:t>3-</w:t>
    </w:r>
    <w:r w:rsidRPr="008F435B">
      <w:rPr>
        <w:rFonts w:ascii="Arial" w:hAnsi="Arial" w:cs="Arial"/>
        <w:sz w:val="20"/>
      </w:rPr>
      <w:fldChar w:fldCharType="begin"/>
    </w:r>
    <w:r w:rsidRPr="008F435B">
      <w:rPr>
        <w:rFonts w:ascii="Arial" w:hAnsi="Arial" w:cs="Arial"/>
        <w:sz w:val="20"/>
      </w:rPr>
      <w:instrText xml:space="preserve"> PAGE   \* MERGEFORMAT </w:instrText>
    </w:r>
    <w:r w:rsidRPr="008F435B">
      <w:rPr>
        <w:rFonts w:ascii="Arial" w:hAnsi="Arial" w:cs="Arial"/>
        <w:sz w:val="20"/>
      </w:rPr>
      <w:fldChar w:fldCharType="separate"/>
    </w:r>
    <w:r w:rsidR="00696FD3">
      <w:rPr>
        <w:rFonts w:ascii="Arial" w:hAnsi="Arial" w:cs="Arial"/>
        <w:noProof/>
        <w:sz w:val="20"/>
      </w:rPr>
      <w:t>1</w:t>
    </w:r>
    <w:r w:rsidRPr="008F435B">
      <w:rPr>
        <w:rFonts w:ascii="Arial" w:hAnsi="Arial" w:cs="Arial"/>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360A" w:rsidRPr="00C20218" w:rsidRDefault="000E360A" w:rsidP="00C2021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360A" w:rsidRPr="00983B36" w:rsidRDefault="000E360A" w:rsidP="0024038A">
    <w:pPr>
      <w:pStyle w:val="Footer"/>
      <w:pBdr>
        <w:top w:val="single" w:sz="4" w:space="1" w:color="auto"/>
      </w:pBdr>
      <w:tabs>
        <w:tab w:val="clear" w:pos="4320"/>
        <w:tab w:val="clear" w:pos="8640"/>
        <w:tab w:val="center" w:pos="4680"/>
        <w:tab w:val="right" w:pos="9360"/>
      </w:tabs>
      <w:rPr>
        <w:rFonts w:ascii="Arial" w:hAnsi="Arial" w:cs="Arial"/>
        <w:sz w:val="20"/>
      </w:rPr>
    </w:pPr>
    <w:r w:rsidRPr="008F435B">
      <w:rPr>
        <w:rFonts w:ascii="Arial" w:hAnsi="Arial" w:cs="Arial"/>
        <w:sz w:val="20"/>
      </w:rPr>
      <w:tab/>
    </w:r>
    <w:r>
      <w:rPr>
        <w:rFonts w:ascii="Arial" w:hAnsi="Arial" w:cs="Arial"/>
        <w:sz w:val="20"/>
      </w:rPr>
      <w:t>3-</w:t>
    </w:r>
    <w:r w:rsidRPr="008F435B">
      <w:rPr>
        <w:rFonts w:ascii="Arial" w:hAnsi="Arial" w:cs="Arial"/>
        <w:sz w:val="20"/>
      </w:rPr>
      <w:fldChar w:fldCharType="begin"/>
    </w:r>
    <w:r w:rsidRPr="008F435B">
      <w:rPr>
        <w:rFonts w:ascii="Arial" w:hAnsi="Arial" w:cs="Arial"/>
        <w:sz w:val="20"/>
      </w:rPr>
      <w:instrText xml:space="preserve"> PAGE   \* MERGEFORMAT </w:instrText>
    </w:r>
    <w:r w:rsidRPr="008F435B">
      <w:rPr>
        <w:rFonts w:ascii="Arial" w:hAnsi="Arial" w:cs="Arial"/>
        <w:sz w:val="20"/>
      </w:rPr>
      <w:fldChar w:fldCharType="separate"/>
    </w:r>
    <w:r w:rsidR="00696FD3">
      <w:rPr>
        <w:rFonts w:ascii="Arial" w:hAnsi="Arial" w:cs="Arial"/>
        <w:noProof/>
        <w:sz w:val="20"/>
      </w:rPr>
      <w:t>23</w:t>
    </w:r>
    <w:r w:rsidRPr="008F435B">
      <w:rPr>
        <w:rFonts w:ascii="Arial" w:hAnsi="Arial" w:cs="Arial"/>
        <w:sz w:val="20"/>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360A" w:rsidRPr="00010C84" w:rsidRDefault="000E360A" w:rsidP="00010C84">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360A" w:rsidRPr="00983B36" w:rsidRDefault="000E360A" w:rsidP="0024038A">
    <w:pPr>
      <w:pStyle w:val="Footer"/>
      <w:pBdr>
        <w:top w:val="single" w:sz="4" w:space="1" w:color="auto"/>
      </w:pBdr>
      <w:tabs>
        <w:tab w:val="clear" w:pos="4320"/>
        <w:tab w:val="clear" w:pos="8640"/>
        <w:tab w:val="center" w:pos="4680"/>
        <w:tab w:val="right" w:pos="9360"/>
      </w:tabs>
      <w:rPr>
        <w:rFonts w:ascii="Arial" w:hAnsi="Arial" w:cs="Arial"/>
        <w:sz w:val="20"/>
      </w:rPr>
    </w:pPr>
    <w:r w:rsidRPr="008F435B">
      <w:rPr>
        <w:rFonts w:ascii="Arial" w:hAnsi="Arial" w:cs="Arial"/>
        <w:sz w:val="20"/>
      </w:rPr>
      <w:tab/>
    </w:r>
    <w:r>
      <w:rPr>
        <w:rFonts w:ascii="Arial" w:hAnsi="Arial" w:cs="Arial"/>
        <w:sz w:val="20"/>
      </w:rPr>
      <w:t>3-</w:t>
    </w:r>
    <w:r w:rsidRPr="008F435B">
      <w:rPr>
        <w:rFonts w:ascii="Arial" w:hAnsi="Arial" w:cs="Arial"/>
        <w:sz w:val="20"/>
      </w:rPr>
      <w:fldChar w:fldCharType="begin"/>
    </w:r>
    <w:r w:rsidRPr="008F435B">
      <w:rPr>
        <w:rFonts w:ascii="Arial" w:hAnsi="Arial" w:cs="Arial"/>
        <w:sz w:val="20"/>
      </w:rPr>
      <w:instrText xml:space="preserve"> PAGE   \* MERGEFORMAT </w:instrText>
    </w:r>
    <w:r w:rsidRPr="008F435B">
      <w:rPr>
        <w:rFonts w:ascii="Arial" w:hAnsi="Arial" w:cs="Arial"/>
        <w:sz w:val="20"/>
      </w:rPr>
      <w:fldChar w:fldCharType="separate"/>
    </w:r>
    <w:r w:rsidR="00B80589">
      <w:rPr>
        <w:rFonts w:ascii="Arial" w:hAnsi="Arial" w:cs="Arial"/>
        <w:noProof/>
        <w:sz w:val="20"/>
      </w:rPr>
      <w:t>40</w:t>
    </w:r>
    <w:r w:rsidRPr="008F435B">
      <w:rPr>
        <w:rFonts w:ascii="Arial" w:hAnsi="Arial" w:cs="Arial"/>
        <w:sz w:val="20"/>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360A" w:rsidRPr="00983B36" w:rsidRDefault="000E360A" w:rsidP="00E5705B">
    <w:pPr>
      <w:pStyle w:val="Footer"/>
      <w:tabs>
        <w:tab w:val="clear" w:pos="4320"/>
        <w:tab w:val="clear" w:pos="8640"/>
        <w:tab w:val="center" w:pos="4680"/>
        <w:tab w:val="right" w:pos="9360"/>
      </w:tabs>
      <w:rPr>
        <w:rFonts w:ascii="Arial" w:hAnsi="Arial" w:cs="Arial"/>
        <w:sz w:val="20"/>
      </w:rPr>
    </w:pPr>
    <w:r w:rsidRPr="008F435B">
      <w:rPr>
        <w:rFonts w:ascii="Arial" w:hAnsi="Arial" w:cs="Arial"/>
        <w:sz w:val="20"/>
      </w:rPr>
      <w:tab/>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360A" w:rsidRPr="00983B36" w:rsidRDefault="000E360A" w:rsidP="0024038A">
    <w:pPr>
      <w:pStyle w:val="Footer"/>
      <w:pBdr>
        <w:top w:val="single" w:sz="4" w:space="1" w:color="auto"/>
      </w:pBdr>
      <w:tabs>
        <w:tab w:val="clear" w:pos="4320"/>
        <w:tab w:val="clear" w:pos="8640"/>
        <w:tab w:val="center" w:pos="4680"/>
        <w:tab w:val="right" w:pos="9360"/>
      </w:tabs>
      <w:rPr>
        <w:rFonts w:ascii="Arial" w:hAnsi="Arial" w:cs="Arial"/>
        <w:sz w:val="20"/>
      </w:rPr>
    </w:pPr>
    <w:r w:rsidRPr="008F435B">
      <w:rPr>
        <w:rFonts w:ascii="Arial" w:hAnsi="Arial" w:cs="Arial"/>
        <w:sz w:val="20"/>
      </w:rPr>
      <w:tab/>
    </w:r>
    <w:r>
      <w:rPr>
        <w:rFonts w:ascii="Arial" w:hAnsi="Arial" w:cs="Arial"/>
        <w:sz w:val="20"/>
      </w:rPr>
      <w:t>3-</w:t>
    </w:r>
    <w:r w:rsidRPr="008F435B">
      <w:rPr>
        <w:rFonts w:ascii="Arial" w:hAnsi="Arial" w:cs="Arial"/>
        <w:sz w:val="20"/>
      </w:rPr>
      <w:fldChar w:fldCharType="begin"/>
    </w:r>
    <w:r w:rsidRPr="008F435B">
      <w:rPr>
        <w:rFonts w:ascii="Arial" w:hAnsi="Arial" w:cs="Arial"/>
        <w:sz w:val="20"/>
      </w:rPr>
      <w:instrText xml:space="preserve"> PAGE   \* MERGEFORMAT </w:instrText>
    </w:r>
    <w:r w:rsidRPr="008F435B">
      <w:rPr>
        <w:rFonts w:ascii="Arial" w:hAnsi="Arial" w:cs="Arial"/>
        <w:sz w:val="20"/>
      </w:rPr>
      <w:fldChar w:fldCharType="separate"/>
    </w:r>
    <w:r w:rsidR="00B80589">
      <w:rPr>
        <w:rFonts w:ascii="Arial" w:hAnsi="Arial" w:cs="Arial"/>
        <w:noProof/>
        <w:sz w:val="20"/>
      </w:rPr>
      <w:t>87</w:t>
    </w:r>
    <w:r w:rsidRPr="008F435B">
      <w:rPr>
        <w:rFonts w:ascii="Arial" w:hAnsi="Arial" w:cs="Arial"/>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0251B" w:rsidRDefault="00F0251B">
      <w:r>
        <w:separator/>
      </w:r>
    </w:p>
  </w:footnote>
  <w:footnote w:type="continuationSeparator" w:id="0">
    <w:p w:rsidR="00F0251B" w:rsidRDefault="00F0251B">
      <w:r>
        <w:continuationSeparator/>
      </w:r>
    </w:p>
  </w:footnote>
  <w:footnote w:id="1">
    <w:p w:rsidR="000E360A" w:rsidRDefault="000E360A" w:rsidP="002544CC">
      <w:pPr>
        <w:pStyle w:val="FootnoteText"/>
      </w:pPr>
      <w:r>
        <w:rPr>
          <w:rStyle w:val="FootnoteReference"/>
        </w:rPr>
        <w:footnoteRef/>
      </w:r>
      <w:r>
        <w:t xml:space="preserve"> </w:t>
      </w:r>
      <w:r>
        <w:rPr>
          <w:rStyle w:val="A8"/>
        </w:rPr>
        <w:t xml:space="preserve">CSA is the Canadian Standards Association. CSA Standards such as A23.2 Method of Test and Standard Practices for Concrete can be found at </w:t>
      </w:r>
      <w:r>
        <w:rPr>
          <w:color w:val="221E1F"/>
          <w:u w:val="single"/>
        </w:rPr>
        <w:t>www.csa.ca.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360A" w:rsidRDefault="000E360A">
    <w:pPr>
      <w:pBdr>
        <w:bottom w:val="single" w:sz="4" w:space="1" w:color="auto"/>
      </w:pBdr>
      <w:tabs>
        <w:tab w:val="center" w:pos="4680"/>
        <w:tab w:val="right" w:pos="9360"/>
      </w:tabs>
      <w:rPr>
        <w:rFonts w:ascii="Arial" w:hAnsi="Arial" w:cs="Arial"/>
        <w:i/>
        <w:iCs/>
        <w:sz w:val="20"/>
      </w:rPr>
    </w:pPr>
    <w:r>
      <w:rPr>
        <w:rFonts w:ascii="Arial" w:hAnsi="Arial" w:cs="Arial"/>
        <w:sz w:val="20"/>
      </w:rPr>
      <w:t>Current Date, Chapter Name, or RFP Number</w:t>
    </w:r>
    <w:r>
      <w:rPr>
        <w:rFonts w:ascii="Arial" w:hAnsi="Arial" w:cs="Arial"/>
        <w:sz w:val="20"/>
      </w:rPr>
      <w:tab/>
    </w:r>
    <w:r>
      <w:rPr>
        <w:rFonts w:ascii="Arial" w:hAnsi="Arial" w:cs="Arial"/>
        <w:sz w:val="20"/>
      </w:rPr>
      <w:tab/>
    </w:r>
    <w:r>
      <w:rPr>
        <w:rFonts w:ascii="Arial" w:hAnsi="Arial" w:cs="Arial"/>
        <w:i/>
        <w:iCs/>
        <w:sz w:val="20"/>
      </w:rPr>
      <w:t>Title of Document or Proposal</w:t>
    </w:r>
  </w:p>
  <w:p w:rsidR="000E360A" w:rsidRDefault="000E360A"/>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360A" w:rsidRPr="00B13E9D" w:rsidRDefault="000E360A" w:rsidP="001E31DB">
    <w:pPr>
      <w:pBdr>
        <w:bottom w:val="single" w:sz="4" w:space="1" w:color="auto"/>
      </w:pBdr>
      <w:tabs>
        <w:tab w:val="center" w:pos="4680"/>
        <w:tab w:val="right" w:pos="9360"/>
      </w:tabs>
      <w:rPr>
        <w:rFonts w:ascii="Arial" w:hAnsi="Arial" w:cs="Arial"/>
        <w:iCs/>
        <w:sz w:val="20"/>
      </w:rPr>
    </w:pPr>
    <w:r w:rsidRPr="00057940">
      <w:rPr>
        <w:rFonts w:ascii="Arial" w:hAnsi="Arial" w:cs="Arial"/>
        <w:i/>
        <w:iCs/>
        <w:sz w:val="20"/>
      </w:rPr>
      <w:t>Handbook</w:t>
    </w:r>
    <w:r>
      <w:rPr>
        <w:rFonts w:ascii="Arial" w:hAnsi="Arial" w:cs="Arial"/>
        <w:i/>
        <w:iCs/>
        <w:sz w:val="20"/>
      </w:rPr>
      <w:t xml:space="preserve"> for Pavement Design, Construction</w:t>
    </w:r>
    <w:r>
      <w:rPr>
        <w:rFonts w:ascii="Arial" w:hAnsi="Arial" w:cs="Arial"/>
        <w:i/>
        <w:iCs/>
        <w:sz w:val="20"/>
      </w:rPr>
      <w:tab/>
      <w:t xml:space="preserve"> and Management</w:t>
    </w:r>
    <w:r>
      <w:rPr>
        <w:rFonts w:ascii="Arial" w:hAnsi="Arial" w:cs="Arial"/>
        <w:i/>
        <w:iCs/>
        <w:sz w:val="20"/>
      </w:rPr>
      <w:tab/>
    </w:r>
    <w:r w:rsidRPr="00B13E9D">
      <w:rPr>
        <w:rFonts w:ascii="Arial" w:hAnsi="Arial" w:cs="Arial"/>
        <w:iCs/>
        <w:sz w:val="20"/>
      </w:rPr>
      <w:t>Pavement Materials</w:t>
    </w:r>
  </w:p>
  <w:p w:rsidR="000E360A" w:rsidRDefault="000E360A"/>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360A" w:rsidRPr="00C20218" w:rsidRDefault="000E360A" w:rsidP="00C20218">
    <w:pPr>
      <w:pStyle w:val="Header"/>
    </w:pPr>
    <w:r>
      <w:rPr>
        <w:noProof/>
      </w:rPr>
      <mc:AlternateContent>
        <mc:Choice Requires="wps">
          <w:drawing>
            <wp:anchor distT="0" distB="0" distL="114300" distR="114300" simplePos="0" relativeHeight="251659264" behindDoc="0" locked="0" layoutInCell="1" allowOverlap="1">
              <wp:simplePos x="0" y="0"/>
              <wp:positionH relativeFrom="page">
                <wp:posOffset>497205</wp:posOffset>
              </wp:positionH>
              <wp:positionV relativeFrom="page">
                <wp:posOffset>922020</wp:posOffset>
              </wp:positionV>
              <wp:extent cx="401955" cy="5943600"/>
              <wp:effectExtent l="1905" t="0" r="0" b="1905"/>
              <wp:wrapNone/>
              <wp:docPr id="4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 cy="5943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360A" w:rsidRPr="00303D1E" w:rsidRDefault="000E360A" w:rsidP="0024038A">
                          <w:pPr>
                            <w:pStyle w:val="Footer"/>
                            <w:pBdr>
                              <w:top w:val="single" w:sz="4" w:space="1" w:color="auto"/>
                            </w:pBdr>
                            <w:tabs>
                              <w:tab w:val="clear" w:pos="8640"/>
                              <w:tab w:val="right" w:pos="9360"/>
                            </w:tabs>
                            <w:jc w:val="center"/>
                            <w:rPr>
                              <w:rFonts w:ascii="Arial" w:hAnsi="Arial" w:cs="Arial"/>
                              <w:sz w:val="20"/>
                            </w:rPr>
                          </w:pPr>
                          <w:r>
                            <w:rPr>
                              <w:rFonts w:ascii="Arial" w:hAnsi="Arial" w:cs="Arial"/>
                              <w:sz w:val="20"/>
                            </w:rPr>
                            <w:t>3-</w:t>
                          </w:r>
                          <w:r w:rsidRPr="008F435B">
                            <w:rPr>
                              <w:rFonts w:ascii="Arial" w:hAnsi="Arial" w:cs="Arial"/>
                              <w:sz w:val="20"/>
                            </w:rPr>
                            <w:fldChar w:fldCharType="begin"/>
                          </w:r>
                          <w:r w:rsidRPr="008F435B">
                            <w:rPr>
                              <w:rFonts w:ascii="Arial" w:hAnsi="Arial" w:cs="Arial"/>
                              <w:sz w:val="20"/>
                            </w:rPr>
                            <w:instrText xml:space="preserve"> PAGE   \* MERGEFORMAT </w:instrText>
                          </w:r>
                          <w:r w:rsidRPr="008F435B">
                            <w:rPr>
                              <w:rFonts w:ascii="Arial" w:hAnsi="Arial" w:cs="Arial"/>
                              <w:sz w:val="20"/>
                            </w:rPr>
                            <w:fldChar w:fldCharType="separate"/>
                          </w:r>
                          <w:r w:rsidR="00696FD3">
                            <w:rPr>
                              <w:rFonts w:ascii="Arial" w:hAnsi="Arial" w:cs="Arial"/>
                              <w:noProof/>
                              <w:sz w:val="20"/>
                            </w:rPr>
                            <w:t>20</w:t>
                          </w:r>
                          <w:r w:rsidRPr="008F435B">
                            <w:rPr>
                              <w:rFonts w:ascii="Arial" w:hAnsi="Arial" w:cs="Arial"/>
                              <w:sz w:val="20"/>
                            </w:rPr>
                            <w:fldChar w:fldCharType="end"/>
                          </w:r>
                        </w:p>
                        <w:p w:rsidR="000E360A" w:rsidRPr="00C20218" w:rsidRDefault="000E360A" w:rsidP="00711EDE"/>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margin-left:39.15pt;margin-top:72.6pt;width:31.65pt;height:468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" stroked="f">
              <v:textbox style="layout-flow:vertical" inset="0,0,0,0">
                <w:txbxContent>
                  <w:p w:rsidR="000E360A" w:rsidRPr="00303D1E" w:rsidRDefault="000E360A" w:rsidP="0024038A">
                    <w:pPr>
                      <w:pStyle w:val="Footer"/>
                      <w:pBdr>
                        <w:top w:val="single" w:sz="4" w:space="1" w:color="auto"/>
                      </w:pBdr>
                      <w:tabs>
                        <w:tab w:val="clear" w:pos="8640"/>
                        <w:tab w:val="right" w:pos="9360"/>
                      </w:tabs>
                      <w:jc w:val="center"/>
                      <w:rPr>
                        <w:rFonts w:ascii="Arial" w:hAnsi="Arial" w:cs="Arial"/>
                        <w:sz w:val="20"/>
                      </w:rPr>
                    </w:pPr>
                    <w:r>
                      <w:rPr>
                        <w:rFonts w:ascii="Arial" w:hAnsi="Arial" w:cs="Arial"/>
                        <w:sz w:val="20"/>
                      </w:rPr>
                      <w:t>3-</w:t>
                    </w:r>
                    <w:r w:rsidRPr="008F435B">
                      <w:rPr>
                        <w:rFonts w:ascii="Arial" w:hAnsi="Arial" w:cs="Arial"/>
                        <w:sz w:val="20"/>
                      </w:rPr>
                      <w:fldChar w:fldCharType="begin"/>
                    </w:r>
                    <w:r w:rsidRPr="008F435B">
                      <w:rPr>
                        <w:rFonts w:ascii="Arial" w:hAnsi="Arial" w:cs="Arial"/>
                        <w:sz w:val="20"/>
                      </w:rPr>
                      <w:instrText xml:space="preserve"> PAGE   \* MERGEFORMAT </w:instrText>
                    </w:r>
                    <w:r w:rsidRPr="008F435B">
                      <w:rPr>
                        <w:rFonts w:ascii="Arial" w:hAnsi="Arial" w:cs="Arial"/>
                        <w:sz w:val="20"/>
                      </w:rPr>
                      <w:fldChar w:fldCharType="separate"/>
                    </w:r>
                    <w:r w:rsidR="00696FD3">
                      <w:rPr>
                        <w:rFonts w:ascii="Arial" w:hAnsi="Arial" w:cs="Arial"/>
                        <w:noProof/>
                        <w:sz w:val="20"/>
                      </w:rPr>
                      <w:t>20</w:t>
                    </w:r>
                    <w:r w:rsidRPr="008F435B">
                      <w:rPr>
                        <w:rFonts w:ascii="Arial" w:hAnsi="Arial" w:cs="Arial"/>
                        <w:sz w:val="20"/>
                      </w:rPr>
                      <w:fldChar w:fldCharType="end"/>
                    </w:r>
                  </w:p>
                  <w:p w:rsidR="000E360A" w:rsidRPr="00C20218" w:rsidRDefault="000E360A" w:rsidP="00711EDE"/>
                </w:txbxContent>
              </v:textbox>
              <w10:wrap anchorx="page" anchory="page"/>
            </v:shape>
          </w:pict>
        </mc:Fallback>
      </mc:AlternateContent>
    </w:r>
    <w:r>
      <w:rPr>
        <w:noProof/>
      </w:rPr>
      <mc:AlternateContent>
        <mc:Choice Requires="wps">
          <w:drawing>
            <wp:anchor distT="0" distB="0" distL="114300" distR="114300" simplePos="0" relativeHeight="251657216" behindDoc="0" locked="0" layoutInCell="1" allowOverlap="1">
              <wp:simplePos x="0" y="0"/>
              <wp:positionH relativeFrom="page">
                <wp:posOffset>9208135</wp:posOffset>
              </wp:positionH>
              <wp:positionV relativeFrom="page">
                <wp:posOffset>914400</wp:posOffset>
              </wp:positionV>
              <wp:extent cx="401955" cy="5943600"/>
              <wp:effectExtent l="0" t="0" r="635" b="0"/>
              <wp:wrapNone/>
              <wp:docPr id="4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 cy="5943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360A" w:rsidRPr="00057940" w:rsidRDefault="000E360A" w:rsidP="00983B36">
                          <w:pPr>
                            <w:pBdr>
                              <w:bottom w:val="single" w:sz="4" w:space="1" w:color="auto"/>
                            </w:pBdr>
                            <w:tabs>
                              <w:tab w:val="center" w:pos="4680"/>
                              <w:tab w:val="right" w:pos="9360"/>
                            </w:tabs>
                            <w:rPr>
                              <w:rFonts w:ascii="Arial" w:hAnsi="Arial" w:cs="Arial"/>
                              <w:i/>
                              <w:iCs/>
                              <w:sz w:val="20"/>
                            </w:rPr>
                          </w:pPr>
                          <w:r w:rsidRPr="00057940">
                            <w:rPr>
                              <w:rFonts w:ascii="Arial" w:hAnsi="Arial" w:cs="Arial"/>
                              <w:i/>
                              <w:iCs/>
                              <w:sz w:val="20"/>
                            </w:rPr>
                            <w:t>Handbook</w:t>
                          </w:r>
                          <w:r>
                            <w:rPr>
                              <w:rFonts w:ascii="Arial" w:hAnsi="Arial" w:cs="Arial"/>
                              <w:i/>
                              <w:iCs/>
                              <w:sz w:val="20"/>
                            </w:rPr>
                            <w:t xml:space="preserve"> for Pavement Design, Construction</w:t>
                          </w:r>
                          <w:r>
                            <w:rPr>
                              <w:rFonts w:ascii="Arial" w:hAnsi="Arial" w:cs="Arial"/>
                              <w:i/>
                              <w:iCs/>
                              <w:sz w:val="20"/>
                            </w:rPr>
                            <w:tab/>
                            <w:t xml:space="preserve"> and Management</w:t>
                          </w:r>
                          <w:r>
                            <w:rPr>
                              <w:rFonts w:ascii="Arial" w:hAnsi="Arial" w:cs="Arial"/>
                              <w:i/>
                              <w:iCs/>
                              <w:sz w:val="20"/>
                            </w:rPr>
                            <w:tab/>
                          </w:r>
                          <w:r w:rsidRPr="00B13E9D">
                            <w:rPr>
                              <w:rFonts w:ascii="Arial" w:hAnsi="Arial" w:cs="Arial"/>
                              <w:iCs/>
                              <w:sz w:val="20"/>
                            </w:rPr>
                            <w:t>Pavement Materials</w:t>
                          </w:r>
                        </w:p>
                        <w:p w:rsidR="000E360A" w:rsidRPr="00C20218" w:rsidRDefault="000E360A" w:rsidP="00C20218"/>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8" type="#_x0000_t202" style="position:absolute;margin-left:725.05pt;margin-top:1in;width:31.65pt;height:468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" stroked="f">
              <v:textbox style="layout-flow:vertical" inset="0,0,0,0">
                <w:txbxContent>
                  <w:p w:rsidR="000E360A" w:rsidRPr="00057940" w:rsidRDefault="000E360A" w:rsidP="00983B36">
                    <w:pPr>
                      <w:pBdr>
                        <w:bottom w:val="single" w:sz="4" w:space="1" w:color="auto"/>
                      </w:pBdr>
                      <w:tabs>
                        <w:tab w:val="center" w:pos="4680"/>
                        <w:tab w:val="right" w:pos="9360"/>
                      </w:tabs>
                      <w:rPr>
                        <w:rFonts w:ascii="Arial" w:hAnsi="Arial" w:cs="Arial"/>
                        <w:i/>
                        <w:iCs/>
                        <w:sz w:val="20"/>
                      </w:rPr>
                    </w:pPr>
                    <w:r w:rsidRPr="00057940">
                      <w:rPr>
                        <w:rFonts w:ascii="Arial" w:hAnsi="Arial" w:cs="Arial"/>
                        <w:i/>
                        <w:iCs/>
                        <w:sz w:val="20"/>
                      </w:rPr>
                      <w:t>Handbook</w:t>
                    </w:r>
                    <w:r>
                      <w:rPr>
                        <w:rFonts w:ascii="Arial" w:hAnsi="Arial" w:cs="Arial"/>
                        <w:i/>
                        <w:iCs/>
                        <w:sz w:val="20"/>
                      </w:rPr>
                      <w:t xml:space="preserve"> for Pavement Design, Construction</w:t>
                    </w:r>
                    <w:r>
                      <w:rPr>
                        <w:rFonts w:ascii="Arial" w:hAnsi="Arial" w:cs="Arial"/>
                        <w:i/>
                        <w:iCs/>
                        <w:sz w:val="20"/>
                      </w:rPr>
                      <w:tab/>
                      <w:t xml:space="preserve"> and Management</w:t>
                    </w:r>
                    <w:r>
                      <w:rPr>
                        <w:rFonts w:ascii="Arial" w:hAnsi="Arial" w:cs="Arial"/>
                        <w:i/>
                        <w:iCs/>
                        <w:sz w:val="20"/>
                      </w:rPr>
                      <w:tab/>
                    </w:r>
                    <w:r w:rsidRPr="00B13E9D">
                      <w:rPr>
                        <w:rFonts w:ascii="Arial" w:hAnsi="Arial" w:cs="Arial"/>
                        <w:iCs/>
                        <w:sz w:val="20"/>
                      </w:rPr>
                      <w:t>Pavement Materials</w:t>
                    </w:r>
                  </w:p>
                  <w:p w:rsidR="000E360A" w:rsidRPr="00C20218" w:rsidRDefault="000E360A" w:rsidP="00C20218"/>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360A" w:rsidRPr="00B13E9D" w:rsidRDefault="000E360A" w:rsidP="00983B36">
    <w:pPr>
      <w:pBdr>
        <w:bottom w:val="single" w:sz="4" w:space="1" w:color="auto"/>
      </w:pBdr>
      <w:tabs>
        <w:tab w:val="center" w:pos="4680"/>
        <w:tab w:val="right" w:pos="9360"/>
      </w:tabs>
      <w:rPr>
        <w:rFonts w:ascii="Arial" w:hAnsi="Arial" w:cs="Arial"/>
        <w:iCs/>
        <w:sz w:val="20"/>
      </w:rPr>
    </w:pPr>
    <w:r w:rsidRPr="00057940">
      <w:rPr>
        <w:rFonts w:ascii="Arial" w:hAnsi="Arial" w:cs="Arial"/>
        <w:i/>
        <w:iCs/>
        <w:sz w:val="20"/>
      </w:rPr>
      <w:t>Handbook</w:t>
    </w:r>
    <w:r>
      <w:rPr>
        <w:rFonts w:ascii="Arial" w:hAnsi="Arial" w:cs="Arial"/>
        <w:i/>
        <w:iCs/>
        <w:sz w:val="20"/>
      </w:rPr>
      <w:t xml:space="preserve"> for Pavement Design, Construction</w:t>
    </w:r>
    <w:r>
      <w:rPr>
        <w:rFonts w:ascii="Arial" w:hAnsi="Arial" w:cs="Arial"/>
        <w:i/>
        <w:iCs/>
        <w:sz w:val="20"/>
      </w:rPr>
      <w:tab/>
      <w:t xml:space="preserve"> and Management</w:t>
    </w:r>
    <w:r>
      <w:rPr>
        <w:rFonts w:ascii="Arial" w:hAnsi="Arial" w:cs="Arial"/>
        <w:i/>
        <w:iCs/>
        <w:sz w:val="20"/>
      </w:rPr>
      <w:tab/>
    </w:r>
    <w:r w:rsidRPr="00B13E9D">
      <w:rPr>
        <w:rFonts w:ascii="Arial" w:hAnsi="Arial" w:cs="Arial"/>
        <w:iCs/>
        <w:sz w:val="20"/>
      </w:rPr>
      <w:t>Pavement Materials</w:t>
    </w:r>
  </w:p>
  <w:p w:rsidR="000E360A" w:rsidRPr="00C20218" w:rsidRDefault="000E360A" w:rsidP="00C20218">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360A" w:rsidRPr="00C20218" w:rsidRDefault="000E360A" w:rsidP="00C20218">
    <w:pPr>
      <w:pStyle w:val="Header"/>
    </w:pPr>
    <w:r>
      <w:rPr>
        <w:noProof/>
      </w:rPr>
      <mc:AlternateContent>
        <mc:Choice Requires="wps">
          <w:drawing>
            <wp:anchor distT="0" distB="0" distL="114300" distR="114300" simplePos="0" relativeHeight="251661312" behindDoc="0" locked="0" layoutInCell="1" allowOverlap="1">
              <wp:simplePos x="0" y="0"/>
              <wp:positionH relativeFrom="column">
                <wp:posOffset>8498840</wp:posOffset>
              </wp:positionH>
              <wp:positionV relativeFrom="paragraph">
                <wp:posOffset>342900</wp:posOffset>
              </wp:positionV>
              <wp:extent cx="457200" cy="6172200"/>
              <wp:effectExtent l="2540" t="0" r="0" b="0"/>
              <wp:wrapNone/>
              <wp:docPr id="4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6172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360A" w:rsidRPr="00010C84" w:rsidRDefault="000E360A" w:rsidP="00010C84">
                          <w:pPr>
                            <w:tabs>
                              <w:tab w:val="right" w:pos="9648"/>
                            </w:tabs>
                            <w:rPr>
                              <w:rFonts w:ascii="Arial" w:hAnsi="Arial"/>
                              <w:sz w:val="20"/>
                              <w:u w:val="single"/>
                            </w:rPr>
                          </w:pPr>
                          <w:r w:rsidRPr="00010C84">
                            <w:rPr>
                              <w:rFonts w:ascii="Arial" w:hAnsi="Arial" w:cs="Arial"/>
                              <w:i/>
                              <w:iCs/>
                              <w:sz w:val="20"/>
                              <w:u w:val="single"/>
                            </w:rPr>
                            <w:t>Handbook for Pavement Design, Construction and Management</w:t>
                          </w:r>
                          <w:r w:rsidRPr="00010C84">
                            <w:rPr>
                              <w:rFonts w:ascii="Arial" w:hAnsi="Arial" w:cs="Arial"/>
                              <w:i/>
                              <w:iCs/>
                              <w:sz w:val="20"/>
                              <w:u w:val="single"/>
                            </w:rPr>
                            <w:tab/>
                          </w:r>
                          <w:r w:rsidRPr="00010C84">
                            <w:rPr>
                              <w:rFonts w:ascii="Arial" w:hAnsi="Arial" w:cs="Arial"/>
                              <w:iCs/>
                              <w:sz w:val="20"/>
                              <w:u w:val="single"/>
                            </w:rPr>
                            <w:t>Pavement Materials</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29" type="#_x0000_t202" style="position:absolute;margin-left:669.2pt;margin-top:27pt;width:36pt;height:48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" stroked="f">
              <v:textbox style="layout-flow:vertical">
                <w:txbxContent>
                  <w:p w:rsidR="000E360A" w:rsidRPr="00010C84" w:rsidRDefault="000E360A" w:rsidP="00010C84">
                    <w:pPr>
                      <w:tabs>
                        <w:tab w:val="right" w:pos="9648"/>
                      </w:tabs>
                      <w:rPr>
                        <w:rFonts w:ascii="Arial" w:hAnsi="Arial"/>
                        <w:sz w:val="20"/>
                        <w:u w:val="single"/>
                      </w:rPr>
                    </w:pPr>
                    <w:r w:rsidRPr="00010C84">
                      <w:rPr>
                        <w:rFonts w:ascii="Arial" w:hAnsi="Arial" w:cs="Arial"/>
                        <w:i/>
                        <w:iCs/>
                        <w:sz w:val="20"/>
                        <w:u w:val="single"/>
                      </w:rPr>
                      <w:t>Handbook for Pavement Design, Construction and Management</w:t>
                    </w:r>
                    <w:r w:rsidRPr="00010C84">
                      <w:rPr>
                        <w:rFonts w:ascii="Arial" w:hAnsi="Arial" w:cs="Arial"/>
                        <w:i/>
                        <w:iCs/>
                        <w:sz w:val="20"/>
                        <w:u w:val="single"/>
                      </w:rPr>
                      <w:tab/>
                    </w:r>
                    <w:r w:rsidRPr="00010C84">
                      <w:rPr>
                        <w:rFonts w:ascii="Arial" w:hAnsi="Arial" w:cs="Arial"/>
                        <w:iCs/>
                        <w:sz w:val="20"/>
                        <w:u w:val="single"/>
                      </w:rPr>
                      <w:t>Pavement Materials</w:t>
                    </w:r>
                  </w:p>
                </w:txbxContent>
              </v:textbox>
            </v:shape>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column">
                <wp:posOffset>-297180</wp:posOffset>
              </wp:positionH>
              <wp:positionV relativeFrom="paragraph">
                <wp:posOffset>381000</wp:posOffset>
              </wp:positionV>
              <wp:extent cx="457200" cy="6172200"/>
              <wp:effectExtent l="0" t="0" r="1905" b="0"/>
              <wp:wrapNone/>
              <wp:docPr id="3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6172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360A" w:rsidRPr="008E0953" w:rsidRDefault="000E360A" w:rsidP="00010C84">
                          <w:pPr>
                            <w:pBdr>
                              <w:top w:val="single" w:sz="4" w:space="1" w:color="auto"/>
                            </w:pBdr>
                            <w:tabs>
                              <w:tab w:val="right" w:pos="9504"/>
                            </w:tabs>
                            <w:jc w:val="center"/>
                            <w:rPr>
                              <w:rFonts w:ascii="Arial" w:hAnsi="Arial" w:cs="Arial"/>
                              <w:sz w:val="20"/>
                            </w:rPr>
                          </w:pPr>
                          <w:r>
                            <w:rPr>
                              <w:rFonts w:ascii="Arial" w:hAnsi="Arial" w:cs="Arial"/>
                              <w:sz w:val="20"/>
                            </w:rPr>
                            <w:t>3-</w:t>
                          </w:r>
                          <w:r w:rsidRPr="008F435B">
                            <w:rPr>
                              <w:rFonts w:ascii="Arial" w:hAnsi="Arial" w:cs="Arial"/>
                              <w:sz w:val="20"/>
                            </w:rPr>
                            <w:fldChar w:fldCharType="begin"/>
                          </w:r>
                          <w:r w:rsidRPr="008F435B">
                            <w:rPr>
                              <w:rFonts w:ascii="Arial" w:hAnsi="Arial" w:cs="Arial"/>
                              <w:sz w:val="20"/>
                            </w:rPr>
                            <w:instrText xml:space="preserve"> PAGE   \* MERGEFORMAT </w:instrText>
                          </w:r>
                          <w:r w:rsidRPr="008F435B">
                            <w:rPr>
                              <w:rFonts w:ascii="Arial" w:hAnsi="Arial" w:cs="Arial"/>
                              <w:sz w:val="20"/>
                            </w:rPr>
                            <w:fldChar w:fldCharType="separate"/>
                          </w:r>
                          <w:r w:rsidR="00B80589">
                            <w:rPr>
                              <w:rFonts w:ascii="Arial" w:hAnsi="Arial" w:cs="Arial"/>
                              <w:noProof/>
                              <w:sz w:val="20"/>
                            </w:rPr>
                            <w:t>24</w:t>
                          </w:r>
                          <w:r w:rsidRPr="008F435B">
                            <w:rPr>
                              <w:rFonts w:ascii="Arial" w:hAnsi="Arial" w:cs="Arial"/>
                              <w:sz w:val="20"/>
                            </w:rPr>
                            <w:fldChar w:fldCharType="end"/>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30" type="#_x0000_t202" style="position:absolute;margin-left:-23.4pt;margin-top:30pt;width:36pt;height:48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" stroked="f">
              <v:textbox style="layout-flow:vertical">
                <w:txbxContent>
                  <w:p w:rsidR="000E360A" w:rsidRPr="008E0953" w:rsidRDefault="000E360A" w:rsidP="00010C84">
                    <w:pPr>
                      <w:pBdr>
                        <w:top w:val="single" w:sz="4" w:space="1" w:color="auto"/>
                      </w:pBdr>
                      <w:tabs>
                        <w:tab w:val="right" w:pos="9504"/>
                      </w:tabs>
                      <w:jc w:val="center"/>
                      <w:rPr>
                        <w:rFonts w:ascii="Arial" w:hAnsi="Arial" w:cs="Arial"/>
                        <w:sz w:val="20"/>
                      </w:rPr>
                    </w:pPr>
                    <w:r>
                      <w:rPr>
                        <w:rFonts w:ascii="Arial" w:hAnsi="Arial" w:cs="Arial"/>
                        <w:sz w:val="20"/>
                      </w:rPr>
                      <w:t>3-</w:t>
                    </w:r>
                    <w:r w:rsidRPr="008F435B">
                      <w:rPr>
                        <w:rFonts w:ascii="Arial" w:hAnsi="Arial" w:cs="Arial"/>
                        <w:sz w:val="20"/>
                      </w:rPr>
                      <w:fldChar w:fldCharType="begin"/>
                    </w:r>
                    <w:r w:rsidRPr="008F435B">
                      <w:rPr>
                        <w:rFonts w:ascii="Arial" w:hAnsi="Arial" w:cs="Arial"/>
                        <w:sz w:val="20"/>
                      </w:rPr>
                      <w:instrText xml:space="preserve"> PAGE   \* MERGEFORMAT </w:instrText>
                    </w:r>
                    <w:r w:rsidRPr="008F435B">
                      <w:rPr>
                        <w:rFonts w:ascii="Arial" w:hAnsi="Arial" w:cs="Arial"/>
                        <w:sz w:val="20"/>
                      </w:rPr>
                      <w:fldChar w:fldCharType="separate"/>
                    </w:r>
                    <w:r w:rsidR="00B80589">
                      <w:rPr>
                        <w:rFonts w:ascii="Arial" w:hAnsi="Arial" w:cs="Arial"/>
                        <w:noProof/>
                        <w:sz w:val="20"/>
                      </w:rPr>
                      <w:t>24</w:t>
                    </w:r>
                    <w:r w:rsidRPr="008F435B">
                      <w:rPr>
                        <w:rFonts w:ascii="Arial" w:hAnsi="Arial" w:cs="Arial"/>
                        <w:sz w:val="20"/>
                      </w:rPr>
                      <w:fldChar w:fldCharType="end"/>
                    </w:r>
                  </w:p>
                </w:txbxContent>
              </v:textbox>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360A" w:rsidRPr="00B13E9D" w:rsidRDefault="000E360A" w:rsidP="00983B36">
    <w:pPr>
      <w:pBdr>
        <w:bottom w:val="single" w:sz="4" w:space="1" w:color="auto"/>
      </w:pBdr>
      <w:tabs>
        <w:tab w:val="center" w:pos="4680"/>
        <w:tab w:val="right" w:pos="9360"/>
      </w:tabs>
      <w:rPr>
        <w:rFonts w:ascii="Arial" w:hAnsi="Arial" w:cs="Arial"/>
        <w:iCs/>
        <w:sz w:val="20"/>
      </w:rPr>
    </w:pPr>
    <w:r w:rsidRPr="00057940">
      <w:rPr>
        <w:rFonts w:ascii="Arial" w:hAnsi="Arial" w:cs="Arial"/>
        <w:i/>
        <w:iCs/>
        <w:sz w:val="20"/>
      </w:rPr>
      <w:t>Handbook</w:t>
    </w:r>
    <w:r>
      <w:rPr>
        <w:rFonts w:ascii="Arial" w:hAnsi="Arial" w:cs="Arial"/>
        <w:i/>
        <w:iCs/>
        <w:sz w:val="20"/>
      </w:rPr>
      <w:t xml:space="preserve"> for Pavement Design, Construction</w:t>
    </w:r>
    <w:r>
      <w:rPr>
        <w:rFonts w:ascii="Arial" w:hAnsi="Arial" w:cs="Arial"/>
        <w:i/>
        <w:iCs/>
        <w:sz w:val="20"/>
      </w:rPr>
      <w:tab/>
      <w:t xml:space="preserve"> and Management</w:t>
    </w:r>
    <w:r>
      <w:rPr>
        <w:rFonts w:ascii="Arial" w:hAnsi="Arial" w:cs="Arial"/>
        <w:i/>
        <w:iCs/>
        <w:sz w:val="20"/>
      </w:rPr>
      <w:tab/>
    </w:r>
    <w:r w:rsidRPr="00B13E9D">
      <w:rPr>
        <w:rFonts w:ascii="Arial" w:hAnsi="Arial" w:cs="Arial"/>
        <w:iCs/>
        <w:sz w:val="20"/>
      </w:rPr>
      <w:t>Pavement Materials</w:t>
    </w:r>
  </w:p>
  <w:p w:rsidR="000E360A" w:rsidRPr="00C20218" w:rsidRDefault="000E360A" w:rsidP="00C20218">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360A" w:rsidRPr="00B13E9D" w:rsidRDefault="000E360A" w:rsidP="00E5705B">
    <w:pPr>
      <w:tabs>
        <w:tab w:val="center" w:pos="4680"/>
        <w:tab w:val="right" w:pos="9360"/>
      </w:tabs>
      <w:rPr>
        <w:rFonts w:ascii="Arial" w:hAnsi="Arial" w:cs="Arial"/>
        <w:iCs/>
        <w:sz w:val="20"/>
      </w:rPr>
    </w:pPr>
  </w:p>
  <w:p w:rsidR="000E360A" w:rsidRPr="00C20218" w:rsidRDefault="000E360A" w:rsidP="00C20218">
    <w:pPr>
      <w:pStyle w:val="Header"/>
    </w:pPr>
    <w:r>
      <w:rPr>
        <w:rFonts w:ascii="Arial" w:hAnsi="Arial" w:cs="Arial"/>
        <w:iCs/>
        <w:noProof/>
        <w:sz w:val="20"/>
      </w:rPr>
      <mc:AlternateContent>
        <mc:Choice Requires="wps">
          <w:drawing>
            <wp:anchor distT="0" distB="0" distL="114300" distR="114300" simplePos="0" relativeHeight="251662336" behindDoc="0" locked="0" layoutInCell="1" allowOverlap="1">
              <wp:simplePos x="0" y="0"/>
              <wp:positionH relativeFrom="column">
                <wp:posOffset>-297180</wp:posOffset>
              </wp:positionH>
              <wp:positionV relativeFrom="paragraph">
                <wp:posOffset>387350</wp:posOffset>
              </wp:positionV>
              <wp:extent cx="457200" cy="6172200"/>
              <wp:effectExtent l="0" t="0" r="1905" b="3175"/>
              <wp:wrapNone/>
              <wp:docPr id="2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6172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360A" w:rsidRPr="00983B36" w:rsidRDefault="000E360A" w:rsidP="00E5705B">
                          <w:pPr>
                            <w:pStyle w:val="Footer"/>
                            <w:pBdr>
                              <w:top w:val="single" w:sz="4" w:space="1" w:color="auto"/>
                            </w:pBdr>
                            <w:tabs>
                              <w:tab w:val="clear" w:pos="4320"/>
                              <w:tab w:val="clear" w:pos="8640"/>
                              <w:tab w:val="center" w:pos="4680"/>
                              <w:tab w:val="right" w:pos="9360"/>
                            </w:tabs>
                            <w:rPr>
                              <w:rFonts w:ascii="Arial" w:hAnsi="Arial" w:cs="Arial"/>
                              <w:sz w:val="20"/>
                            </w:rPr>
                          </w:pPr>
                          <w:r w:rsidRPr="008F435B">
                            <w:rPr>
                              <w:rFonts w:ascii="Arial" w:hAnsi="Arial" w:cs="Arial"/>
                              <w:sz w:val="20"/>
                            </w:rPr>
                            <w:tab/>
                          </w:r>
                          <w:r>
                            <w:rPr>
                              <w:rFonts w:ascii="Arial" w:hAnsi="Arial" w:cs="Arial"/>
                              <w:sz w:val="20"/>
                            </w:rPr>
                            <w:t>3-</w:t>
                          </w:r>
                          <w:r w:rsidRPr="008F435B">
                            <w:rPr>
                              <w:rFonts w:ascii="Arial" w:hAnsi="Arial" w:cs="Arial"/>
                              <w:sz w:val="20"/>
                            </w:rPr>
                            <w:fldChar w:fldCharType="begin"/>
                          </w:r>
                          <w:r w:rsidRPr="008F435B">
                            <w:rPr>
                              <w:rFonts w:ascii="Arial" w:hAnsi="Arial" w:cs="Arial"/>
                              <w:sz w:val="20"/>
                            </w:rPr>
                            <w:instrText xml:space="preserve"> PAGE   \* MERGEFORMAT </w:instrText>
                          </w:r>
                          <w:r w:rsidRPr="008F435B">
                            <w:rPr>
                              <w:rFonts w:ascii="Arial" w:hAnsi="Arial" w:cs="Arial"/>
                              <w:sz w:val="20"/>
                            </w:rPr>
                            <w:fldChar w:fldCharType="separate"/>
                          </w:r>
                          <w:r w:rsidR="00B80589">
                            <w:rPr>
                              <w:rFonts w:ascii="Arial" w:hAnsi="Arial" w:cs="Arial"/>
                              <w:noProof/>
                              <w:sz w:val="20"/>
                            </w:rPr>
                            <w:t>42</w:t>
                          </w:r>
                          <w:r w:rsidRPr="008F435B">
                            <w:rPr>
                              <w:rFonts w:ascii="Arial" w:hAnsi="Arial" w:cs="Arial"/>
                              <w:sz w:val="20"/>
                            </w:rPr>
                            <w:fldChar w:fldCharType="end"/>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031" type="#_x0000_t202" style="position:absolute;margin-left:-23.4pt;margin-top:30.5pt;width:36pt;height:48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" stroked="f">
              <v:textbox style="layout-flow:vertical">
                <w:txbxContent>
                  <w:p w:rsidR="000E360A" w:rsidRPr="00983B36" w:rsidRDefault="000E360A" w:rsidP="00E5705B">
                    <w:pPr>
                      <w:pStyle w:val="Footer"/>
                      <w:pBdr>
                        <w:top w:val="single" w:sz="4" w:space="1" w:color="auto"/>
                      </w:pBdr>
                      <w:tabs>
                        <w:tab w:val="clear" w:pos="4320"/>
                        <w:tab w:val="clear" w:pos="8640"/>
                        <w:tab w:val="center" w:pos="4680"/>
                        <w:tab w:val="right" w:pos="9360"/>
                      </w:tabs>
                      <w:rPr>
                        <w:rFonts w:ascii="Arial" w:hAnsi="Arial" w:cs="Arial"/>
                        <w:sz w:val="20"/>
                      </w:rPr>
                    </w:pPr>
                    <w:r w:rsidRPr="008F435B">
                      <w:rPr>
                        <w:rFonts w:ascii="Arial" w:hAnsi="Arial" w:cs="Arial"/>
                        <w:sz w:val="20"/>
                      </w:rPr>
                      <w:tab/>
                    </w:r>
                    <w:r>
                      <w:rPr>
                        <w:rFonts w:ascii="Arial" w:hAnsi="Arial" w:cs="Arial"/>
                        <w:sz w:val="20"/>
                      </w:rPr>
                      <w:t>3-</w:t>
                    </w:r>
                    <w:r w:rsidRPr="008F435B">
                      <w:rPr>
                        <w:rFonts w:ascii="Arial" w:hAnsi="Arial" w:cs="Arial"/>
                        <w:sz w:val="20"/>
                      </w:rPr>
                      <w:fldChar w:fldCharType="begin"/>
                    </w:r>
                    <w:r w:rsidRPr="008F435B">
                      <w:rPr>
                        <w:rFonts w:ascii="Arial" w:hAnsi="Arial" w:cs="Arial"/>
                        <w:sz w:val="20"/>
                      </w:rPr>
                      <w:instrText xml:space="preserve"> PAGE   \* MERGEFORMAT </w:instrText>
                    </w:r>
                    <w:r w:rsidRPr="008F435B">
                      <w:rPr>
                        <w:rFonts w:ascii="Arial" w:hAnsi="Arial" w:cs="Arial"/>
                        <w:sz w:val="20"/>
                      </w:rPr>
                      <w:fldChar w:fldCharType="separate"/>
                    </w:r>
                    <w:r w:rsidR="00B80589">
                      <w:rPr>
                        <w:rFonts w:ascii="Arial" w:hAnsi="Arial" w:cs="Arial"/>
                        <w:noProof/>
                        <w:sz w:val="20"/>
                      </w:rPr>
                      <w:t>42</w:t>
                    </w:r>
                    <w:r w:rsidRPr="008F435B">
                      <w:rPr>
                        <w:rFonts w:ascii="Arial" w:hAnsi="Arial" w:cs="Arial"/>
                        <w:sz w:val="20"/>
                      </w:rPr>
                      <w:fldChar w:fldCharType="end"/>
                    </w:r>
                  </w:p>
                </w:txbxContent>
              </v:textbox>
            </v:shape>
          </w:pict>
        </mc:Fallback>
      </mc:AlternateContent>
    </w:r>
    <w:r>
      <w:rPr>
        <w:rFonts w:ascii="Arial" w:hAnsi="Arial" w:cs="Arial"/>
        <w:iCs/>
        <w:noProof/>
        <w:sz w:val="20"/>
      </w:rPr>
      <mc:AlternateContent>
        <mc:Choice Requires="wps">
          <w:drawing>
            <wp:anchor distT="0" distB="0" distL="114300" distR="114300" simplePos="0" relativeHeight="251663360" behindDoc="0" locked="0" layoutInCell="1" allowOverlap="1">
              <wp:simplePos x="0" y="0"/>
              <wp:positionH relativeFrom="column">
                <wp:posOffset>8498840</wp:posOffset>
              </wp:positionH>
              <wp:positionV relativeFrom="paragraph">
                <wp:posOffset>349250</wp:posOffset>
              </wp:positionV>
              <wp:extent cx="457200" cy="6172200"/>
              <wp:effectExtent l="2540" t="0" r="0" b="3175"/>
              <wp:wrapNone/>
              <wp:docPr id="2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6172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360A" w:rsidRPr="00E5705B" w:rsidRDefault="000E360A" w:rsidP="00E5705B">
                          <w:pPr>
                            <w:tabs>
                              <w:tab w:val="center" w:pos="4680"/>
                              <w:tab w:val="right" w:pos="9648"/>
                            </w:tabs>
                            <w:rPr>
                              <w:rFonts w:ascii="Arial" w:hAnsi="Arial" w:cs="Arial"/>
                              <w:iCs/>
                              <w:sz w:val="20"/>
                              <w:u w:val="single"/>
                            </w:rPr>
                          </w:pPr>
                          <w:r w:rsidRPr="00E5705B">
                            <w:rPr>
                              <w:rFonts w:ascii="Arial" w:hAnsi="Arial" w:cs="Arial"/>
                              <w:i/>
                              <w:iCs/>
                              <w:sz w:val="20"/>
                              <w:u w:val="single"/>
                            </w:rPr>
                            <w:t>Handbook for Pavement Design, Construction</w:t>
                          </w:r>
                          <w:r w:rsidRPr="00E5705B">
                            <w:rPr>
                              <w:rFonts w:ascii="Arial" w:hAnsi="Arial" w:cs="Arial"/>
                              <w:i/>
                              <w:iCs/>
                              <w:sz w:val="20"/>
                              <w:u w:val="single"/>
                            </w:rPr>
                            <w:tab/>
                            <w:t xml:space="preserve"> and Management</w:t>
                          </w:r>
                          <w:r w:rsidRPr="00E5705B">
                            <w:rPr>
                              <w:rFonts w:ascii="Arial" w:hAnsi="Arial" w:cs="Arial"/>
                              <w:i/>
                              <w:iCs/>
                              <w:sz w:val="20"/>
                              <w:u w:val="single"/>
                            </w:rPr>
                            <w:tab/>
                          </w:r>
                          <w:r w:rsidRPr="00E5705B">
                            <w:rPr>
                              <w:rFonts w:ascii="Arial" w:hAnsi="Arial" w:cs="Arial"/>
                              <w:iCs/>
                              <w:sz w:val="20"/>
                              <w:u w:val="single"/>
                            </w:rPr>
                            <w:t>Pavement Materials</w:t>
                          </w:r>
                        </w:p>
                        <w:p w:rsidR="000E360A" w:rsidRPr="00E5705B" w:rsidRDefault="000E360A" w:rsidP="00E5705B"/>
                        <w:p w:rsidR="000E360A" w:rsidRDefault="000E360A" w:rsidP="00E5705B"/>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32" type="#_x0000_t202" style="position:absolute;margin-left:669.2pt;margin-top:27.5pt;width:36pt;height:48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" stroked="f">
              <v:textbox style="layout-flow:vertical">
                <w:txbxContent>
                  <w:p w:rsidR="000E360A" w:rsidRPr="00E5705B" w:rsidRDefault="000E360A" w:rsidP="00E5705B">
                    <w:pPr>
                      <w:tabs>
                        <w:tab w:val="center" w:pos="4680"/>
                        <w:tab w:val="right" w:pos="9648"/>
                      </w:tabs>
                      <w:rPr>
                        <w:rFonts w:ascii="Arial" w:hAnsi="Arial" w:cs="Arial"/>
                        <w:iCs/>
                        <w:sz w:val="20"/>
                        <w:u w:val="single"/>
                      </w:rPr>
                    </w:pPr>
                    <w:r w:rsidRPr="00E5705B">
                      <w:rPr>
                        <w:rFonts w:ascii="Arial" w:hAnsi="Arial" w:cs="Arial"/>
                        <w:i/>
                        <w:iCs/>
                        <w:sz w:val="20"/>
                        <w:u w:val="single"/>
                      </w:rPr>
                      <w:t>Handbook for Pavement Design, Construction</w:t>
                    </w:r>
                    <w:r w:rsidRPr="00E5705B">
                      <w:rPr>
                        <w:rFonts w:ascii="Arial" w:hAnsi="Arial" w:cs="Arial"/>
                        <w:i/>
                        <w:iCs/>
                        <w:sz w:val="20"/>
                        <w:u w:val="single"/>
                      </w:rPr>
                      <w:tab/>
                      <w:t xml:space="preserve"> and Management</w:t>
                    </w:r>
                    <w:r w:rsidRPr="00E5705B">
                      <w:rPr>
                        <w:rFonts w:ascii="Arial" w:hAnsi="Arial" w:cs="Arial"/>
                        <w:i/>
                        <w:iCs/>
                        <w:sz w:val="20"/>
                        <w:u w:val="single"/>
                      </w:rPr>
                      <w:tab/>
                    </w:r>
                    <w:r w:rsidRPr="00E5705B">
                      <w:rPr>
                        <w:rFonts w:ascii="Arial" w:hAnsi="Arial" w:cs="Arial"/>
                        <w:iCs/>
                        <w:sz w:val="20"/>
                        <w:u w:val="single"/>
                      </w:rPr>
                      <w:t>Pavement Materials</w:t>
                    </w:r>
                  </w:p>
                  <w:p w:rsidR="000E360A" w:rsidRPr="00E5705B" w:rsidRDefault="000E360A" w:rsidP="00E5705B"/>
                  <w:p w:rsidR="000E360A" w:rsidRDefault="000E360A" w:rsidP="00E5705B"/>
                </w:txbxContent>
              </v:textbox>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360A" w:rsidRPr="00B13E9D" w:rsidRDefault="000E360A" w:rsidP="00983B36">
    <w:pPr>
      <w:pBdr>
        <w:bottom w:val="single" w:sz="4" w:space="1" w:color="auto"/>
      </w:pBdr>
      <w:tabs>
        <w:tab w:val="center" w:pos="4680"/>
        <w:tab w:val="right" w:pos="9360"/>
      </w:tabs>
      <w:rPr>
        <w:rFonts w:ascii="Arial" w:hAnsi="Arial" w:cs="Arial"/>
        <w:iCs/>
        <w:sz w:val="20"/>
      </w:rPr>
    </w:pPr>
    <w:r w:rsidRPr="00057940">
      <w:rPr>
        <w:rFonts w:ascii="Arial" w:hAnsi="Arial" w:cs="Arial"/>
        <w:i/>
        <w:iCs/>
        <w:sz w:val="20"/>
      </w:rPr>
      <w:t>Handbook</w:t>
    </w:r>
    <w:r>
      <w:rPr>
        <w:rFonts w:ascii="Arial" w:hAnsi="Arial" w:cs="Arial"/>
        <w:i/>
        <w:iCs/>
        <w:sz w:val="20"/>
      </w:rPr>
      <w:t xml:space="preserve"> for Pavement Design, Construction</w:t>
    </w:r>
    <w:r>
      <w:rPr>
        <w:rFonts w:ascii="Arial" w:hAnsi="Arial" w:cs="Arial"/>
        <w:i/>
        <w:iCs/>
        <w:sz w:val="20"/>
      </w:rPr>
      <w:tab/>
      <w:t xml:space="preserve"> and Management</w:t>
    </w:r>
    <w:r>
      <w:rPr>
        <w:rFonts w:ascii="Arial" w:hAnsi="Arial" w:cs="Arial"/>
        <w:i/>
        <w:iCs/>
        <w:sz w:val="20"/>
      </w:rPr>
      <w:tab/>
    </w:r>
    <w:r w:rsidRPr="00B13E9D">
      <w:rPr>
        <w:rFonts w:ascii="Arial" w:hAnsi="Arial" w:cs="Arial"/>
        <w:iCs/>
        <w:sz w:val="20"/>
      </w:rPr>
      <w:t>Pavement Materials</w:t>
    </w:r>
  </w:p>
  <w:p w:rsidR="000E360A" w:rsidRPr="00C20218" w:rsidRDefault="000E360A" w:rsidP="00C2021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D66BA"/>
    <w:multiLevelType w:val="hybridMultilevel"/>
    <w:tmpl w:val="5AA6F8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F1435EE"/>
    <w:multiLevelType w:val="hybridMultilevel"/>
    <w:tmpl w:val="4AC6E4A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10B52F96"/>
    <w:multiLevelType w:val="hybridMultilevel"/>
    <w:tmpl w:val="8350FAF4"/>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3">
    <w:nsid w:val="1374707A"/>
    <w:multiLevelType w:val="hybridMultilevel"/>
    <w:tmpl w:val="9EEAFC10"/>
    <w:lvl w:ilvl="0" w:tplc="0409000F">
      <w:start w:val="1"/>
      <w:numFmt w:val="decimal"/>
      <w:lvlText w:val="%1."/>
      <w:lvlJc w:val="left"/>
      <w:pPr>
        <w:ind w:left="1485" w:hanging="360"/>
      </w:pPr>
      <w:rPr>
        <w:rFonts w:hint="default"/>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4">
    <w:nsid w:val="14D26F6B"/>
    <w:multiLevelType w:val="hybridMultilevel"/>
    <w:tmpl w:val="572A52B6"/>
    <w:lvl w:ilvl="0" w:tplc="7B9EBDAC">
      <w:start w:val="1"/>
      <w:numFmt w:val="bullet"/>
      <w:lvlText w:val=""/>
      <w:lvlJc w:val="left"/>
      <w:pPr>
        <w:tabs>
          <w:tab w:val="num" w:pos="2160"/>
        </w:tabs>
        <w:ind w:left="2160" w:hanging="360"/>
      </w:pPr>
      <w:rPr>
        <w:rFonts w:ascii="Symbol" w:hAnsi="Symbol" w:hint="default"/>
        <w:sz w:val="20"/>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1A044010"/>
    <w:multiLevelType w:val="hybridMultilevel"/>
    <w:tmpl w:val="F1F27C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2D735585"/>
    <w:multiLevelType w:val="multilevel"/>
    <w:tmpl w:val="7848E378"/>
    <w:lvl w:ilvl="0">
      <w:start w:val="1"/>
      <w:numFmt w:val="decimal"/>
      <w:pStyle w:val="APTechNumberlist"/>
      <w:lvlText w:val="%1."/>
      <w:lvlJc w:val="left"/>
      <w:pPr>
        <w:tabs>
          <w:tab w:val="num" w:pos="720"/>
        </w:tabs>
        <w:ind w:left="720" w:hanging="360"/>
      </w:pPr>
      <w:rPr>
        <w:rFonts w:cs="Times New Roman" w:hint="default"/>
      </w:rPr>
    </w:lvl>
    <w:lvl w:ilvl="1">
      <w:start w:val="1"/>
      <w:numFmt w:val="bullet"/>
      <w:lvlText w:val="–"/>
      <w:lvlJc w:val="left"/>
      <w:pPr>
        <w:tabs>
          <w:tab w:val="num" w:pos="720"/>
        </w:tabs>
        <w:ind w:left="720" w:hanging="360"/>
      </w:pPr>
      <w:rPr>
        <w:rFonts w:ascii="Times New Roman" w:hAnsi="Times New Roman"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cript MT Bold" w:hAnsi="Script MT Bold"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7">
    <w:nsid w:val="3404387A"/>
    <w:multiLevelType w:val="hybridMultilevel"/>
    <w:tmpl w:val="9E36F34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38746D8B"/>
    <w:multiLevelType w:val="hybridMultilevel"/>
    <w:tmpl w:val="236C62C4"/>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9">
    <w:nsid w:val="3F9203CD"/>
    <w:multiLevelType w:val="hybridMultilevel"/>
    <w:tmpl w:val="EE4A40DE"/>
    <w:lvl w:ilvl="0" w:tplc="04090001">
      <w:start w:val="1"/>
      <w:numFmt w:val="bullet"/>
      <w:lvlText w:val=""/>
      <w:lvlJc w:val="left"/>
      <w:pPr>
        <w:ind w:left="1545" w:hanging="360"/>
      </w:pPr>
      <w:rPr>
        <w:rFonts w:ascii="Symbol" w:hAnsi="Symbol" w:hint="default"/>
      </w:rPr>
    </w:lvl>
    <w:lvl w:ilvl="1" w:tplc="04090003" w:tentative="1">
      <w:start w:val="1"/>
      <w:numFmt w:val="bullet"/>
      <w:lvlText w:val="o"/>
      <w:lvlJc w:val="left"/>
      <w:pPr>
        <w:ind w:left="2265" w:hanging="360"/>
      </w:pPr>
      <w:rPr>
        <w:rFonts w:ascii="Courier New" w:hAnsi="Courier New" w:hint="default"/>
      </w:rPr>
    </w:lvl>
    <w:lvl w:ilvl="2" w:tplc="04090005" w:tentative="1">
      <w:start w:val="1"/>
      <w:numFmt w:val="bullet"/>
      <w:lvlText w:val=""/>
      <w:lvlJc w:val="left"/>
      <w:pPr>
        <w:ind w:left="2985" w:hanging="360"/>
      </w:pPr>
      <w:rPr>
        <w:rFonts w:ascii="Wingdings" w:hAnsi="Wingdings" w:hint="default"/>
      </w:rPr>
    </w:lvl>
    <w:lvl w:ilvl="3" w:tplc="04090001" w:tentative="1">
      <w:start w:val="1"/>
      <w:numFmt w:val="bullet"/>
      <w:lvlText w:val=""/>
      <w:lvlJc w:val="left"/>
      <w:pPr>
        <w:ind w:left="3705" w:hanging="360"/>
      </w:pPr>
      <w:rPr>
        <w:rFonts w:ascii="Symbol" w:hAnsi="Symbol" w:hint="default"/>
      </w:rPr>
    </w:lvl>
    <w:lvl w:ilvl="4" w:tplc="04090003" w:tentative="1">
      <w:start w:val="1"/>
      <w:numFmt w:val="bullet"/>
      <w:lvlText w:val="o"/>
      <w:lvlJc w:val="left"/>
      <w:pPr>
        <w:ind w:left="4425" w:hanging="360"/>
      </w:pPr>
      <w:rPr>
        <w:rFonts w:ascii="Courier New" w:hAnsi="Courier New" w:hint="default"/>
      </w:rPr>
    </w:lvl>
    <w:lvl w:ilvl="5" w:tplc="04090005" w:tentative="1">
      <w:start w:val="1"/>
      <w:numFmt w:val="bullet"/>
      <w:lvlText w:val=""/>
      <w:lvlJc w:val="left"/>
      <w:pPr>
        <w:ind w:left="5145" w:hanging="360"/>
      </w:pPr>
      <w:rPr>
        <w:rFonts w:ascii="Wingdings" w:hAnsi="Wingdings" w:hint="default"/>
      </w:rPr>
    </w:lvl>
    <w:lvl w:ilvl="6" w:tplc="04090001" w:tentative="1">
      <w:start w:val="1"/>
      <w:numFmt w:val="bullet"/>
      <w:lvlText w:val=""/>
      <w:lvlJc w:val="left"/>
      <w:pPr>
        <w:ind w:left="5865" w:hanging="360"/>
      </w:pPr>
      <w:rPr>
        <w:rFonts w:ascii="Symbol" w:hAnsi="Symbol" w:hint="default"/>
      </w:rPr>
    </w:lvl>
    <w:lvl w:ilvl="7" w:tplc="04090003" w:tentative="1">
      <w:start w:val="1"/>
      <w:numFmt w:val="bullet"/>
      <w:lvlText w:val="o"/>
      <w:lvlJc w:val="left"/>
      <w:pPr>
        <w:ind w:left="6585" w:hanging="360"/>
      </w:pPr>
      <w:rPr>
        <w:rFonts w:ascii="Courier New" w:hAnsi="Courier New" w:hint="default"/>
      </w:rPr>
    </w:lvl>
    <w:lvl w:ilvl="8" w:tplc="04090005" w:tentative="1">
      <w:start w:val="1"/>
      <w:numFmt w:val="bullet"/>
      <w:lvlText w:val=""/>
      <w:lvlJc w:val="left"/>
      <w:pPr>
        <w:ind w:left="7305" w:hanging="360"/>
      </w:pPr>
      <w:rPr>
        <w:rFonts w:ascii="Wingdings" w:hAnsi="Wingdings" w:hint="default"/>
      </w:rPr>
    </w:lvl>
  </w:abstractNum>
  <w:abstractNum w:abstractNumId="10">
    <w:nsid w:val="478B6584"/>
    <w:multiLevelType w:val="hybridMultilevel"/>
    <w:tmpl w:val="A8AC6F9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4D1C7092"/>
    <w:multiLevelType w:val="hybridMultilevel"/>
    <w:tmpl w:val="D452D4D2"/>
    <w:lvl w:ilvl="0" w:tplc="7B9EBDAC">
      <w:start w:val="1"/>
      <w:numFmt w:val="bullet"/>
      <w:lvlText w:val=""/>
      <w:lvlJc w:val="left"/>
      <w:pPr>
        <w:tabs>
          <w:tab w:val="num" w:pos="2160"/>
        </w:tabs>
        <w:ind w:left="2160" w:hanging="360"/>
      </w:pPr>
      <w:rPr>
        <w:rFonts w:ascii="Symbol" w:hAnsi="Symbol" w:hint="default"/>
        <w:sz w:val="20"/>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4FA366B2"/>
    <w:multiLevelType w:val="hybridMultilevel"/>
    <w:tmpl w:val="1B5AA68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
    <w:nsid w:val="56AB1473"/>
    <w:multiLevelType w:val="hybridMultilevel"/>
    <w:tmpl w:val="5E76669C"/>
    <w:lvl w:ilvl="0" w:tplc="04090001">
      <w:start w:val="1"/>
      <w:numFmt w:val="bullet"/>
      <w:lvlText w:val=""/>
      <w:lvlJc w:val="left"/>
      <w:pPr>
        <w:ind w:left="4665" w:hanging="360"/>
      </w:pPr>
      <w:rPr>
        <w:rFonts w:ascii="Symbol" w:hAnsi="Symbol" w:hint="default"/>
      </w:rPr>
    </w:lvl>
    <w:lvl w:ilvl="1" w:tplc="04090003" w:tentative="1">
      <w:start w:val="1"/>
      <w:numFmt w:val="bullet"/>
      <w:lvlText w:val="o"/>
      <w:lvlJc w:val="left"/>
      <w:pPr>
        <w:ind w:left="5385" w:hanging="360"/>
      </w:pPr>
      <w:rPr>
        <w:rFonts w:ascii="Courier New" w:hAnsi="Courier New" w:cs="Courier New" w:hint="default"/>
      </w:rPr>
    </w:lvl>
    <w:lvl w:ilvl="2" w:tplc="04090005" w:tentative="1">
      <w:start w:val="1"/>
      <w:numFmt w:val="bullet"/>
      <w:lvlText w:val=""/>
      <w:lvlJc w:val="left"/>
      <w:pPr>
        <w:ind w:left="6105" w:hanging="360"/>
      </w:pPr>
      <w:rPr>
        <w:rFonts w:ascii="Wingdings" w:hAnsi="Wingdings" w:hint="default"/>
      </w:rPr>
    </w:lvl>
    <w:lvl w:ilvl="3" w:tplc="04090001" w:tentative="1">
      <w:start w:val="1"/>
      <w:numFmt w:val="bullet"/>
      <w:lvlText w:val=""/>
      <w:lvlJc w:val="left"/>
      <w:pPr>
        <w:ind w:left="6825" w:hanging="360"/>
      </w:pPr>
      <w:rPr>
        <w:rFonts w:ascii="Symbol" w:hAnsi="Symbol" w:hint="default"/>
      </w:rPr>
    </w:lvl>
    <w:lvl w:ilvl="4" w:tplc="04090003" w:tentative="1">
      <w:start w:val="1"/>
      <w:numFmt w:val="bullet"/>
      <w:lvlText w:val="o"/>
      <w:lvlJc w:val="left"/>
      <w:pPr>
        <w:ind w:left="7545" w:hanging="360"/>
      </w:pPr>
      <w:rPr>
        <w:rFonts w:ascii="Courier New" w:hAnsi="Courier New" w:cs="Courier New" w:hint="default"/>
      </w:rPr>
    </w:lvl>
    <w:lvl w:ilvl="5" w:tplc="04090005" w:tentative="1">
      <w:start w:val="1"/>
      <w:numFmt w:val="bullet"/>
      <w:lvlText w:val=""/>
      <w:lvlJc w:val="left"/>
      <w:pPr>
        <w:ind w:left="8265" w:hanging="360"/>
      </w:pPr>
      <w:rPr>
        <w:rFonts w:ascii="Wingdings" w:hAnsi="Wingdings" w:hint="default"/>
      </w:rPr>
    </w:lvl>
    <w:lvl w:ilvl="6" w:tplc="04090001" w:tentative="1">
      <w:start w:val="1"/>
      <w:numFmt w:val="bullet"/>
      <w:lvlText w:val=""/>
      <w:lvlJc w:val="left"/>
      <w:pPr>
        <w:ind w:left="8985" w:hanging="360"/>
      </w:pPr>
      <w:rPr>
        <w:rFonts w:ascii="Symbol" w:hAnsi="Symbol" w:hint="default"/>
      </w:rPr>
    </w:lvl>
    <w:lvl w:ilvl="7" w:tplc="04090003" w:tentative="1">
      <w:start w:val="1"/>
      <w:numFmt w:val="bullet"/>
      <w:lvlText w:val="o"/>
      <w:lvlJc w:val="left"/>
      <w:pPr>
        <w:ind w:left="9705" w:hanging="360"/>
      </w:pPr>
      <w:rPr>
        <w:rFonts w:ascii="Courier New" w:hAnsi="Courier New" w:cs="Courier New" w:hint="default"/>
      </w:rPr>
    </w:lvl>
    <w:lvl w:ilvl="8" w:tplc="04090005" w:tentative="1">
      <w:start w:val="1"/>
      <w:numFmt w:val="bullet"/>
      <w:lvlText w:val=""/>
      <w:lvlJc w:val="left"/>
      <w:pPr>
        <w:ind w:left="10425" w:hanging="360"/>
      </w:pPr>
      <w:rPr>
        <w:rFonts w:ascii="Wingdings" w:hAnsi="Wingdings" w:hint="default"/>
      </w:rPr>
    </w:lvl>
  </w:abstractNum>
  <w:abstractNum w:abstractNumId="14">
    <w:nsid w:val="5A7D439E"/>
    <w:multiLevelType w:val="hybridMultilevel"/>
    <w:tmpl w:val="72966F2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
    <w:nsid w:val="63B96E2E"/>
    <w:multiLevelType w:val="hybridMultilevel"/>
    <w:tmpl w:val="3446DE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4F84934"/>
    <w:multiLevelType w:val="hybridMultilevel"/>
    <w:tmpl w:val="4BA2EF3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6D3E279A"/>
    <w:multiLevelType w:val="hybridMultilevel"/>
    <w:tmpl w:val="049E5AF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72660CCF"/>
    <w:multiLevelType w:val="hybridMultilevel"/>
    <w:tmpl w:val="30021466"/>
    <w:lvl w:ilvl="0" w:tplc="7B9EBDAC">
      <w:start w:val="1"/>
      <w:numFmt w:val="bullet"/>
      <w:lvlText w:val=""/>
      <w:lvlJc w:val="left"/>
      <w:pPr>
        <w:tabs>
          <w:tab w:val="num" w:pos="2160"/>
        </w:tabs>
        <w:ind w:left="2160" w:hanging="360"/>
      </w:pPr>
      <w:rPr>
        <w:rFonts w:ascii="Symbol" w:hAnsi="Symbol" w:hint="default"/>
        <w:sz w:val="20"/>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72BE292E"/>
    <w:multiLevelType w:val="hybridMultilevel"/>
    <w:tmpl w:val="F5C05D8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774C7FE4"/>
    <w:multiLevelType w:val="multilevel"/>
    <w:tmpl w:val="611CF79C"/>
    <w:lvl w:ilvl="0">
      <w:start w:val="1"/>
      <w:numFmt w:val="bullet"/>
      <w:pStyle w:val="APTechBullets"/>
      <w:lvlText w:val=""/>
      <w:lvlJc w:val="left"/>
      <w:pPr>
        <w:tabs>
          <w:tab w:val="num" w:pos="720"/>
        </w:tabs>
        <w:ind w:left="720" w:hanging="360"/>
      </w:pPr>
      <w:rPr>
        <w:rFonts w:ascii="Symbol" w:hAnsi="Symbol" w:hint="default"/>
      </w:rPr>
    </w:lvl>
    <w:lvl w:ilvl="1">
      <w:start w:val="1"/>
      <w:numFmt w:val="bullet"/>
      <w:lvlText w:val="–"/>
      <w:lvlJc w:val="left"/>
      <w:pPr>
        <w:tabs>
          <w:tab w:val="num" w:pos="1080"/>
        </w:tabs>
        <w:ind w:left="1080" w:hanging="360"/>
      </w:pPr>
      <w:rPr>
        <w:rFonts w:ascii="Times New Roman" w:hAnsi="Times New Roman" w:hint="default"/>
      </w:rPr>
    </w:lvl>
    <w:lvl w:ilvl="2">
      <w:start w:val="1"/>
      <w:numFmt w:val="bullet"/>
      <w:lvlText w:val=""/>
      <w:lvlJc w:val="left"/>
      <w:pPr>
        <w:tabs>
          <w:tab w:val="num" w:pos="1440"/>
        </w:tabs>
        <w:ind w:left="1440" w:hanging="360"/>
      </w:pPr>
      <w:rPr>
        <w:rFonts w:ascii="Wingdings" w:hAnsi="Wingdings" w:hint="default"/>
      </w:rPr>
    </w:lvl>
    <w:lvl w:ilvl="3">
      <w:start w:val="1"/>
      <w:numFmt w:val="bullet"/>
      <w:lvlText w:val="•"/>
      <w:lvlJc w:val="left"/>
      <w:pPr>
        <w:tabs>
          <w:tab w:val="num" w:pos="1800"/>
        </w:tabs>
        <w:ind w:left="1800" w:hanging="360"/>
      </w:pPr>
      <w:rPr>
        <w:rFonts w:ascii="Script MT Bold" w:hAnsi="Script MT Bold" w:hint="default"/>
      </w:rPr>
    </w:lvl>
    <w:lvl w:ilvl="4">
      <w:start w:val="1"/>
      <w:numFmt w:val="bullet"/>
      <w:lvlText w:val=""/>
      <w:lvlJc w:val="left"/>
      <w:pPr>
        <w:tabs>
          <w:tab w:val="num" w:pos="2160"/>
        </w:tabs>
        <w:ind w:left="2160" w:hanging="360"/>
      </w:pPr>
      <w:rPr>
        <w:rFonts w:ascii="Symbol" w:hAnsi="Symbol" w:hint="default"/>
      </w:rPr>
    </w:lvl>
    <w:lvl w:ilvl="5">
      <w:start w:val="1"/>
      <w:numFmt w:val="bullet"/>
      <w:lvlText w:val=""/>
      <w:lvlJc w:val="left"/>
      <w:pPr>
        <w:tabs>
          <w:tab w:val="num" w:pos="2520"/>
        </w:tabs>
        <w:ind w:left="2520" w:hanging="360"/>
      </w:pPr>
      <w:rPr>
        <w:rFonts w:ascii="Wingdings" w:hAnsi="Wingdings" w:hint="default"/>
      </w:rPr>
    </w:lvl>
    <w:lvl w:ilvl="6">
      <w:start w:val="1"/>
      <w:numFmt w:val="bullet"/>
      <w:lvlText w:val=""/>
      <w:lvlJc w:val="left"/>
      <w:pPr>
        <w:tabs>
          <w:tab w:val="num" w:pos="2880"/>
        </w:tabs>
        <w:ind w:left="2880" w:hanging="360"/>
      </w:pPr>
      <w:rPr>
        <w:rFonts w:ascii="Wingdings" w:hAnsi="Wingdings" w:hint="default"/>
      </w:rPr>
    </w:lvl>
    <w:lvl w:ilvl="7">
      <w:start w:val="1"/>
      <w:numFmt w:val="bullet"/>
      <w:lvlText w:val=""/>
      <w:lvlJc w:val="left"/>
      <w:pPr>
        <w:tabs>
          <w:tab w:val="num" w:pos="3240"/>
        </w:tabs>
        <w:ind w:left="3240" w:hanging="360"/>
      </w:pPr>
      <w:rPr>
        <w:rFonts w:ascii="Symbol" w:hAnsi="Symbol" w:hint="default"/>
      </w:rPr>
    </w:lvl>
    <w:lvl w:ilvl="8">
      <w:start w:val="1"/>
      <w:numFmt w:val="bullet"/>
      <w:lvlText w:val=""/>
      <w:lvlJc w:val="left"/>
      <w:pPr>
        <w:tabs>
          <w:tab w:val="num" w:pos="3600"/>
        </w:tabs>
        <w:ind w:left="3600" w:hanging="360"/>
      </w:pPr>
      <w:rPr>
        <w:rFonts w:ascii="Symbol" w:hAnsi="Symbol" w:hint="default"/>
      </w:rPr>
    </w:lvl>
  </w:abstractNum>
  <w:num w:numId="1">
    <w:abstractNumId w:val="6"/>
  </w:num>
  <w:num w:numId="2">
    <w:abstractNumId w:val="20"/>
  </w:num>
  <w:num w:numId="3">
    <w:abstractNumId w:val="10"/>
  </w:num>
  <w:num w:numId="4">
    <w:abstractNumId w:val="9"/>
  </w:num>
  <w:num w:numId="5">
    <w:abstractNumId w:val="2"/>
  </w:num>
  <w:num w:numId="6">
    <w:abstractNumId w:val="5"/>
  </w:num>
  <w:num w:numId="7">
    <w:abstractNumId w:val="8"/>
  </w:num>
  <w:num w:numId="8">
    <w:abstractNumId w:val="3"/>
  </w:num>
  <w:num w:numId="9">
    <w:abstractNumId w:val="1"/>
  </w:num>
  <w:num w:numId="10">
    <w:abstractNumId w:val="18"/>
  </w:num>
  <w:num w:numId="11">
    <w:abstractNumId w:val="11"/>
  </w:num>
  <w:num w:numId="12">
    <w:abstractNumId w:val="4"/>
  </w:num>
  <w:num w:numId="13">
    <w:abstractNumId w:val="0"/>
  </w:num>
  <w:num w:numId="14">
    <w:abstractNumId w:val="14"/>
  </w:num>
  <w:num w:numId="15">
    <w:abstractNumId w:val="17"/>
  </w:num>
  <w:num w:numId="16">
    <w:abstractNumId w:val="19"/>
  </w:num>
  <w:num w:numId="17">
    <w:abstractNumId w:val="7"/>
  </w:num>
  <w:num w:numId="18">
    <w:abstractNumId w:val="12"/>
  </w:num>
  <w:num w:numId="19">
    <w:abstractNumId w:val="13"/>
  </w:num>
  <w:num w:numId="20">
    <w:abstractNumId w:val="16"/>
  </w:num>
  <w:num w:numId="21">
    <w:abstractNumId w:val="15"/>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23"/>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rawingGridVerticalSpacing w:val="163"/>
  <w:displayHorizontalDrawingGridEvery w:val="0"/>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6B18"/>
    <w:rsid w:val="0000166C"/>
    <w:rsid w:val="000021DF"/>
    <w:rsid w:val="000029C0"/>
    <w:rsid w:val="00007311"/>
    <w:rsid w:val="000079CD"/>
    <w:rsid w:val="00010C84"/>
    <w:rsid w:val="00012B49"/>
    <w:rsid w:val="00012E11"/>
    <w:rsid w:val="0002287E"/>
    <w:rsid w:val="00027B25"/>
    <w:rsid w:val="00032EB8"/>
    <w:rsid w:val="000413D4"/>
    <w:rsid w:val="00042496"/>
    <w:rsid w:val="0004289D"/>
    <w:rsid w:val="00045223"/>
    <w:rsid w:val="00047A47"/>
    <w:rsid w:val="0005231B"/>
    <w:rsid w:val="00052E91"/>
    <w:rsid w:val="000549BC"/>
    <w:rsid w:val="00055711"/>
    <w:rsid w:val="00065DD6"/>
    <w:rsid w:val="00074FC1"/>
    <w:rsid w:val="00080705"/>
    <w:rsid w:val="00081BE6"/>
    <w:rsid w:val="0008285E"/>
    <w:rsid w:val="0009059C"/>
    <w:rsid w:val="0009392A"/>
    <w:rsid w:val="0009466C"/>
    <w:rsid w:val="000A055E"/>
    <w:rsid w:val="000A1F44"/>
    <w:rsid w:val="000B4DBE"/>
    <w:rsid w:val="000B5313"/>
    <w:rsid w:val="000B7149"/>
    <w:rsid w:val="000B7763"/>
    <w:rsid w:val="000C67D5"/>
    <w:rsid w:val="000C6BF5"/>
    <w:rsid w:val="000C7BE2"/>
    <w:rsid w:val="000D037D"/>
    <w:rsid w:val="000D05D3"/>
    <w:rsid w:val="000D0809"/>
    <w:rsid w:val="000D468F"/>
    <w:rsid w:val="000D7E7F"/>
    <w:rsid w:val="000E099D"/>
    <w:rsid w:val="000E2064"/>
    <w:rsid w:val="000E2200"/>
    <w:rsid w:val="000E360A"/>
    <w:rsid w:val="000F1061"/>
    <w:rsid w:val="00100D5B"/>
    <w:rsid w:val="001040D4"/>
    <w:rsid w:val="00112206"/>
    <w:rsid w:val="0011434A"/>
    <w:rsid w:val="00124C98"/>
    <w:rsid w:val="00130912"/>
    <w:rsid w:val="00136622"/>
    <w:rsid w:val="00141314"/>
    <w:rsid w:val="00146C43"/>
    <w:rsid w:val="0014742C"/>
    <w:rsid w:val="00150CF7"/>
    <w:rsid w:val="00150E02"/>
    <w:rsid w:val="00151B75"/>
    <w:rsid w:val="00155824"/>
    <w:rsid w:val="00162A70"/>
    <w:rsid w:val="00162EB9"/>
    <w:rsid w:val="0016446B"/>
    <w:rsid w:val="00165C35"/>
    <w:rsid w:val="00167928"/>
    <w:rsid w:val="00167E98"/>
    <w:rsid w:val="0017630B"/>
    <w:rsid w:val="00182C82"/>
    <w:rsid w:val="00184415"/>
    <w:rsid w:val="0019645D"/>
    <w:rsid w:val="00196730"/>
    <w:rsid w:val="00196CF4"/>
    <w:rsid w:val="001A2199"/>
    <w:rsid w:val="001A39FF"/>
    <w:rsid w:val="001A4779"/>
    <w:rsid w:val="001A536F"/>
    <w:rsid w:val="001A558D"/>
    <w:rsid w:val="001B160B"/>
    <w:rsid w:val="001B319F"/>
    <w:rsid w:val="001B5750"/>
    <w:rsid w:val="001B79BA"/>
    <w:rsid w:val="001B7D49"/>
    <w:rsid w:val="001C3D89"/>
    <w:rsid w:val="001D2E9E"/>
    <w:rsid w:val="001D4C27"/>
    <w:rsid w:val="001D6479"/>
    <w:rsid w:val="001E31DB"/>
    <w:rsid w:val="001F40C9"/>
    <w:rsid w:val="001F63B3"/>
    <w:rsid w:val="00203853"/>
    <w:rsid w:val="00204488"/>
    <w:rsid w:val="00214EBB"/>
    <w:rsid w:val="002229F3"/>
    <w:rsid w:val="0023200D"/>
    <w:rsid w:val="00236A7E"/>
    <w:rsid w:val="0024038A"/>
    <w:rsid w:val="0024579A"/>
    <w:rsid w:val="0024602A"/>
    <w:rsid w:val="002544CC"/>
    <w:rsid w:val="002558E1"/>
    <w:rsid w:val="00265F88"/>
    <w:rsid w:val="002667B3"/>
    <w:rsid w:val="00266D0E"/>
    <w:rsid w:val="00266D9B"/>
    <w:rsid w:val="00270505"/>
    <w:rsid w:val="00277456"/>
    <w:rsid w:val="00281C2B"/>
    <w:rsid w:val="002918A7"/>
    <w:rsid w:val="00293949"/>
    <w:rsid w:val="0029539B"/>
    <w:rsid w:val="002A41ED"/>
    <w:rsid w:val="002A664E"/>
    <w:rsid w:val="002B1ACA"/>
    <w:rsid w:val="002B33F9"/>
    <w:rsid w:val="002D59F3"/>
    <w:rsid w:val="002D5AA4"/>
    <w:rsid w:val="002D5D52"/>
    <w:rsid w:val="002D7DE7"/>
    <w:rsid w:val="002E23D6"/>
    <w:rsid w:val="002E33B8"/>
    <w:rsid w:val="002F0337"/>
    <w:rsid w:val="002F6D82"/>
    <w:rsid w:val="003031AD"/>
    <w:rsid w:val="00303C5A"/>
    <w:rsid w:val="00303D1E"/>
    <w:rsid w:val="00310022"/>
    <w:rsid w:val="00310C6F"/>
    <w:rsid w:val="00310D6E"/>
    <w:rsid w:val="00311E06"/>
    <w:rsid w:val="0031494D"/>
    <w:rsid w:val="0031545A"/>
    <w:rsid w:val="003204F7"/>
    <w:rsid w:val="00320ED9"/>
    <w:rsid w:val="00321790"/>
    <w:rsid w:val="00322377"/>
    <w:rsid w:val="00326944"/>
    <w:rsid w:val="00327517"/>
    <w:rsid w:val="003424B2"/>
    <w:rsid w:val="0034679A"/>
    <w:rsid w:val="003570F8"/>
    <w:rsid w:val="003644D1"/>
    <w:rsid w:val="00367032"/>
    <w:rsid w:val="0036746B"/>
    <w:rsid w:val="003704E4"/>
    <w:rsid w:val="0037100D"/>
    <w:rsid w:val="003760AA"/>
    <w:rsid w:val="00376614"/>
    <w:rsid w:val="003771E3"/>
    <w:rsid w:val="003879F3"/>
    <w:rsid w:val="003909B4"/>
    <w:rsid w:val="00391A5B"/>
    <w:rsid w:val="00393814"/>
    <w:rsid w:val="0039563A"/>
    <w:rsid w:val="003A0E69"/>
    <w:rsid w:val="003A177A"/>
    <w:rsid w:val="003A762C"/>
    <w:rsid w:val="003B4E29"/>
    <w:rsid w:val="003B6B18"/>
    <w:rsid w:val="003B74D6"/>
    <w:rsid w:val="003B7DCA"/>
    <w:rsid w:val="003C0E7B"/>
    <w:rsid w:val="003C7443"/>
    <w:rsid w:val="003C79E1"/>
    <w:rsid w:val="003D2B4F"/>
    <w:rsid w:val="003D3CDE"/>
    <w:rsid w:val="003D5DBC"/>
    <w:rsid w:val="003E0F2D"/>
    <w:rsid w:val="003F1B57"/>
    <w:rsid w:val="003F4356"/>
    <w:rsid w:val="003F450D"/>
    <w:rsid w:val="003F45CF"/>
    <w:rsid w:val="003F4C5A"/>
    <w:rsid w:val="003F4EF0"/>
    <w:rsid w:val="003F52D1"/>
    <w:rsid w:val="003F7251"/>
    <w:rsid w:val="00401B9C"/>
    <w:rsid w:val="00402987"/>
    <w:rsid w:val="00402C07"/>
    <w:rsid w:val="004063A7"/>
    <w:rsid w:val="00406E1B"/>
    <w:rsid w:val="0040750F"/>
    <w:rsid w:val="0040792E"/>
    <w:rsid w:val="00412D12"/>
    <w:rsid w:val="00416521"/>
    <w:rsid w:val="004165F3"/>
    <w:rsid w:val="004166B4"/>
    <w:rsid w:val="00420644"/>
    <w:rsid w:val="004211F8"/>
    <w:rsid w:val="004276E0"/>
    <w:rsid w:val="004279F2"/>
    <w:rsid w:val="00430837"/>
    <w:rsid w:val="004313DB"/>
    <w:rsid w:val="0043217C"/>
    <w:rsid w:val="004355D2"/>
    <w:rsid w:val="00436095"/>
    <w:rsid w:val="00437B68"/>
    <w:rsid w:val="00440603"/>
    <w:rsid w:val="00442823"/>
    <w:rsid w:val="00445C4F"/>
    <w:rsid w:val="00447753"/>
    <w:rsid w:val="00450269"/>
    <w:rsid w:val="0045477F"/>
    <w:rsid w:val="00456FFF"/>
    <w:rsid w:val="0046291D"/>
    <w:rsid w:val="00465FE6"/>
    <w:rsid w:val="00471153"/>
    <w:rsid w:val="004713FB"/>
    <w:rsid w:val="004718D1"/>
    <w:rsid w:val="004774B9"/>
    <w:rsid w:val="00482D8C"/>
    <w:rsid w:val="004852D5"/>
    <w:rsid w:val="004A509E"/>
    <w:rsid w:val="004A55E4"/>
    <w:rsid w:val="004B16C0"/>
    <w:rsid w:val="004B386D"/>
    <w:rsid w:val="004B41EE"/>
    <w:rsid w:val="004B4E81"/>
    <w:rsid w:val="004B777E"/>
    <w:rsid w:val="004C1A29"/>
    <w:rsid w:val="004C5C42"/>
    <w:rsid w:val="004D4658"/>
    <w:rsid w:val="004E3FE7"/>
    <w:rsid w:val="004E6318"/>
    <w:rsid w:val="004E638D"/>
    <w:rsid w:val="004F57D8"/>
    <w:rsid w:val="005023AF"/>
    <w:rsid w:val="00504C70"/>
    <w:rsid w:val="005058BB"/>
    <w:rsid w:val="00506650"/>
    <w:rsid w:val="00513D8A"/>
    <w:rsid w:val="00514FA8"/>
    <w:rsid w:val="00517F74"/>
    <w:rsid w:val="005225ED"/>
    <w:rsid w:val="00524620"/>
    <w:rsid w:val="00531C6E"/>
    <w:rsid w:val="00531FBC"/>
    <w:rsid w:val="005366B0"/>
    <w:rsid w:val="00537366"/>
    <w:rsid w:val="00537BE7"/>
    <w:rsid w:val="005433F3"/>
    <w:rsid w:val="00543531"/>
    <w:rsid w:val="00543865"/>
    <w:rsid w:val="005612B7"/>
    <w:rsid w:val="00565DD7"/>
    <w:rsid w:val="00570533"/>
    <w:rsid w:val="00582B73"/>
    <w:rsid w:val="00583AC9"/>
    <w:rsid w:val="00595105"/>
    <w:rsid w:val="00596235"/>
    <w:rsid w:val="005A1DBD"/>
    <w:rsid w:val="005A3D1C"/>
    <w:rsid w:val="005A5C85"/>
    <w:rsid w:val="005B1255"/>
    <w:rsid w:val="005B140A"/>
    <w:rsid w:val="005B498A"/>
    <w:rsid w:val="005B6DE1"/>
    <w:rsid w:val="005C1641"/>
    <w:rsid w:val="005C297B"/>
    <w:rsid w:val="005D69C9"/>
    <w:rsid w:val="005D718E"/>
    <w:rsid w:val="005D7610"/>
    <w:rsid w:val="005E11F5"/>
    <w:rsid w:val="005E1CE4"/>
    <w:rsid w:val="005E40AE"/>
    <w:rsid w:val="005E4400"/>
    <w:rsid w:val="005F13AD"/>
    <w:rsid w:val="005F2527"/>
    <w:rsid w:val="005F7887"/>
    <w:rsid w:val="0060457F"/>
    <w:rsid w:val="00613426"/>
    <w:rsid w:val="00625E62"/>
    <w:rsid w:val="00636B62"/>
    <w:rsid w:val="0063796C"/>
    <w:rsid w:val="00645054"/>
    <w:rsid w:val="0065094C"/>
    <w:rsid w:val="00655C7F"/>
    <w:rsid w:val="00664723"/>
    <w:rsid w:val="00664D93"/>
    <w:rsid w:val="00665E6B"/>
    <w:rsid w:val="0066733E"/>
    <w:rsid w:val="0067340E"/>
    <w:rsid w:val="006749C7"/>
    <w:rsid w:val="0067639B"/>
    <w:rsid w:val="00682AC7"/>
    <w:rsid w:val="00684196"/>
    <w:rsid w:val="006902B0"/>
    <w:rsid w:val="0069112D"/>
    <w:rsid w:val="00696FD3"/>
    <w:rsid w:val="006A0F81"/>
    <w:rsid w:val="006A28C7"/>
    <w:rsid w:val="006A4C4C"/>
    <w:rsid w:val="006B1FE0"/>
    <w:rsid w:val="006B2E6C"/>
    <w:rsid w:val="006B3181"/>
    <w:rsid w:val="006B4484"/>
    <w:rsid w:val="006B5182"/>
    <w:rsid w:val="006C4452"/>
    <w:rsid w:val="006C57C5"/>
    <w:rsid w:val="006D5C14"/>
    <w:rsid w:val="006E006F"/>
    <w:rsid w:val="006E088D"/>
    <w:rsid w:val="006F331D"/>
    <w:rsid w:val="006F33A8"/>
    <w:rsid w:val="006F6E9A"/>
    <w:rsid w:val="007001C4"/>
    <w:rsid w:val="007023CA"/>
    <w:rsid w:val="00710079"/>
    <w:rsid w:val="00711EDE"/>
    <w:rsid w:val="007122E1"/>
    <w:rsid w:val="007145CF"/>
    <w:rsid w:val="00715461"/>
    <w:rsid w:val="007175DD"/>
    <w:rsid w:val="007238C2"/>
    <w:rsid w:val="00732EFE"/>
    <w:rsid w:val="00735D2B"/>
    <w:rsid w:val="00743D9E"/>
    <w:rsid w:val="00751916"/>
    <w:rsid w:val="007543E3"/>
    <w:rsid w:val="00756A64"/>
    <w:rsid w:val="007578AC"/>
    <w:rsid w:val="00763FA9"/>
    <w:rsid w:val="00764BF2"/>
    <w:rsid w:val="00767C75"/>
    <w:rsid w:val="00775896"/>
    <w:rsid w:val="0077603A"/>
    <w:rsid w:val="00780405"/>
    <w:rsid w:val="00781001"/>
    <w:rsid w:val="00782ABC"/>
    <w:rsid w:val="00785D2F"/>
    <w:rsid w:val="007872AC"/>
    <w:rsid w:val="00790677"/>
    <w:rsid w:val="007914A5"/>
    <w:rsid w:val="007929D2"/>
    <w:rsid w:val="007933CD"/>
    <w:rsid w:val="007A0669"/>
    <w:rsid w:val="007A1B8D"/>
    <w:rsid w:val="007A3BD3"/>
    <w:rsid w:val="007B2E1D"/>
    <w:rsid w:val="007B2E80"/>
    <w:rsid w:val="007B30D5"/>
    <w:rsid w:val="007B5F2E"/>
    <w:rsid w:val="007B6533"/>
    <w:rsid w:val="007C0298"/>
    <w:rsid w:val="007C5379"/>
    <w:rsid w:val="007D0C3E"/>
    <w:rsid w:val="007D3590"/>
    <w:rsid w:val="007D5522"/>
    <w:rsid w:val="007E489E"/>
    <w:rsid w:val="007E4D1D"/>
    <w:rsid w:val="007F5E35"/>
    <w:rsid w:val="007F677F"/>
    <w:rsid w:val="007F750A"/>
    <w:rsid w:val="00801027"/>
    <w:rsid w:val="0080302D"/>
    <w:rsid w:val="00804C98"/>
    <w:rsid w:val="00807111"/>
    <w:rsid w:val="008138DF"/>
    <w:rsid w:val="00815C5A"/>
    <w:rsid w:val="00820A59"/>
    <w:rsid w:val="00826BDD"/>
    <w:rsid w:val="00831380"/>
    <w:rsid w:val="00836BFE"/>
    <w:rsid w:val="00837A07"/>
    <w:rsid w:val="008414BF"/>
    <w:rsid w:val="00842F01"/>
    <w:rsid w:val="008430AB"/>
    <w:rsid w:val="00844FC8"/>
    <w:rsid w:val="0084586E"/>
    <w:rsid w:val="008465D9"/>
    <w:rsid w:val="00847204"/>
    <w:rsid w:val="008477D0"/>
    <w:rsid w:val="00853741"/>
    <w:rsid w:val="00854986"/>
    <w:rsid w:val="00854E2A"/>
    <w:rsid w:val="00856BD5"/>
    <w:rsid w:val="008578D2"/>
    <w:rsid w:val="00864610"/>
    <w:rsid w:val="00866168"/>
    <w:rsid w:val="008711D7"/>
    <w:rsid w:val="008729FB"/>
    <w:rsid w:val="008744F9"/>
    <w:rsid w:val="00875859"/>
    <w:rsid w:val="0087647C"/>
    <w:rsid w:val="0088557A"/>
    <w:rsid w:val="00885AA4"/>
    <w:rsid w:val="0088747B"/>
    <w:rsid w:val="00887C5C"/>
    <w:rsid w:val="0089568F"/>
    <w:rsid w:val="00895EAE"/>
    <w:rsid w:val="008A0CC9"/>
    <w:rsid w:val="008A10DC"/>
    <w:rsid w:val="008A38BC"/>
    <w:rsid w:val="008A676B"/>
    <w:rsid w:val="008B7426"/>
    <w:rsid w:val="008C5265"/>
    <w:rsid w:val="008C694F"/>
    <w:rsid w:val="008C78AB"/>
    <w:rsid w:val="008D3A4C"/>
    <w:rsid w:val="008D4886"/>
    <w:rsid w:val="008D6D47"/>
    <w:rsid w:val="008E0D96"/>
    <w:rsid w:val="008E3EDB"/>
    <w:rsid w:val="008E664F"/>
    <w:rsid w:val="008F1EE0"/>
    <w:rsid w:val="008F47D5"/>
    <w:rsid w:val="008F7D0E"/>
    <w:rsid w:val="009010D4"/>
    <w:rsid w:val="00904271"/>
    <w:rsid w:val="00910F23"/>
    <w:rsid w:val="00915AAF"/>
    <w:rsid w:val="009214D3"/>
    <w:rsid w:val="00926E26"/>
    <w:rsid w:val="00933DCA"/>
    <w:rsid w:val="009346CC"/>
    <w:rsid w:val="00936012"/>
    <w:rsid w:val="009373E0"/>
    <w:rsid w:val="009426D0"/>
    <w:rsid w:val="00942ECB"/>
    <w:rsid w:val="00955FCC"/>
    <w:rsid w:val="00961151"/>
    <w:rsid w:val="00964943"/>
    <w:rsid w:val="00977A4A"/>
    <w:rsid w:val="00983B36"/>
    <w:rsid w:val="00995E3D"/>
    <w:rsid w:val="00996400"/>
    <w:rsid w:val="00997598"/>
    <w:rsid w:val="009A6650"/>
    <w:rsid w:val="009B1373"/>
    <w:rsid w:val="009B45F7"/>
    <w:rsid w:val="009C3CFE"/>
    <w:rsid w:val="009C51F9"/>
    <w:rsid w:val="009D507B"/>
    <w:rsid w:val="009D667B"/>
    <w:rsid w:val="009D6DD1"/>
    <w:rsid w:val="009E0BDE"/>
    <w:rsid w:val="009E3365"/>
    <w:rsid w:val="009E7B0B"/>
    <w:rsid w:val="00A02509"/>
    <w:rsid w:val="00A0487B"/>
    <w:rsid w:val="00A04EEC"/>
    <w:rsid w:val="00A16A77"/>
    <w:rsid w:val="00A17125"/>
    <w:rsid w:val="00A217F5"/>
    <w:rsid w:val="00A2453D"/>
    <w:rsid w:val="00A2538A"/>
    <w:rsid w:val="00A273A7"/>
    <w:rsid w:val="00A37BD2"/>
    <w:rsid w:val="00A43658"/>
    <w:rsid w:val="00A43B18"/>
    <w:rsid w:val="00A53670"/>
    <w:rsid w:val="00A55687"/>
    <w:rsid w:val="00A63061"/>
    <w:rsid w:val="00A67741"/>
    <w:rsid w:val="00A75B5A"/>
    <w:rsid w:val="00A75F90"/>
    <w:rsid w:val="00A806A8"/>
    <w:rsid w:val="00A8208A"/>
    <w:rsid w:val="00A83E01"/>
    <w:rsid w:val="00A95134"/>
    <w:rsid w:val="00AA2F67"/>
    <w:rsid w:val="00AA3F0A"/>
    <w:rsid w:val="00AA546D"/>
    <w:rsid w:val="00AA5DE2"/>
    <w:rsid w:val="00AA6797"/>
    <w:rsid w:val="00AA681C"/>
    <w:rsid w:val="00AA7638"/>
    <w:rsid w:val="00AB28E5"/>
    <w:rsid w:val="00AB401A"/>
    <w:rsid w:val="00AB6CA2"/>
    <w:rsid w:val="00AB6D6C"/>
    <w:rsid w:val="00AC0FAD"/>
    <w:rsid w:val="00AC5956"/>
    <w:rsid w:val="00AC5C6C"/>
    <w:rsid w:val="00AC61E5"/>
    <w:rsid w:val="00AD3480"/>
    <w:rsid w:val="00AD4D57"/>
    <w:rsid w:val="00AF1765"/>
    <w:rsid w:val="00AF28D7"/>
    <w:rsid w:val="00AF71B8"/>
    <w:rsid w:val="00B13E9D"/>
    <w:rsid w:val="00B166DC"/>
    <w:rsid w:val="00B201B0"/>
    <w:rsid w:val="00B21DE9"/>
    <w:rsid w:val="00B27854"/>
    <w:rsid w:val="00B37E5E"/>
    <w:rsid w:val="00B45081"/>
    <w:rsid w:val="00B46AB1"/>
    <w:rsid w:val="00B475F5"/>
    <w:rsid w:val="00B55EC9"/>
    <w:rsid w:val="00B66244"/>
    <w:rsid w:val="00B66584"/>
    <w:rsid w:val="00B677A6"/>
    <w:rsid w:val="00B7018F"/>
    <w:rsid w:val="00B80589"/>
    <w:rsid w:val="00B808F4"/>
    <w:rsid w:val="00B80DB5"/>
    <w:rsid w:val="00B97AC6"/>
    <w:rsid w:val="00BA3049"/>
    <w:rsid w:val="00BB2957"/>
    <w:rsid w:val="00BB2B14"/>
    <w:rsid w:val="00BB30BD"/>
    <w:rsid w:val="00BB6AEE"/>
    <w:rsid w:val="00BD0A58"/>
    <w:rsid w:val="00BD2443"/>
    <w:rsid w:val="00BD28D7"/>
    <w:rsid w:val="00BD2977"/>
    <w:rsid w:val="00BD3BFC"/>
    <w:rsid w:val="00BD77A5"/>
    <w:rsid w:val="00BE04E0"/>
    <w:rsid w:val="00BE0D6C"/>
    <w:rsid w:val="00BE0EF8"/>
    <w:rsid w:val="00BE1A97"/>
    <w:rsid w:val="00BE7B5E"/>
    <w:rsid w:val="00BF0E1B"/>
    <w:rsid w:val="00BF1A6F"/>
    <w:rsid w:val="00BF29AE"/>
    <w:rsid w:val="00BF4C88"/>
    <w:rsid w:val="00BF789D"/>
    <w:rsid w:val="00C01FA6"/>
    <w:rsid w:val="00C021C8"/>
    <w:rsid w:val="00C03F6A"/>
    <w:rsid w:val="00C05491"/>
    <w:rsid w:val="00C06D7B"/>
    <w:rsid w:val="00C07EA3"/>
    <w:rsid w:val="00C106CC"/>
    <w:rsid w:val="00C111FC"/>
    <w:rsid w:val="00C11CBD"/>
    <w:rsid w:val="00C15FD2"/>
    <w:rsid w:val="00C20218"/>
    <w:rsid w:val="00C20B02"/>
    <w:rsid w:val="00C25BDC"/>
    <w:rsid w:val="00C31422"/>
    <w:rsid w:val="00C34073"/>
    <w:rsid w:val="00C36260"/>
    <w:rsid w:val="00C41263"/>
    <w:rsid w:val="00C42D06"/>
    <w:rsid w:val="00C43C66"/>
    <w:rsid w:val="00C47C5B"/>
    <w:rsid w:val="00C54262"/>
    <w:rsid w:val="00C56469"/>
    <w:rsid w:val="00C61475"/>
    <w:rsid w:val="00C630EE"/>
    <w:rsid w:val="00C642A5"/>
    <w:rsid w:val="00C7098C"/>
    <w:rsid w:val="00C71671"/>
    <w:rsid w:val="00C764FA"/>
    <w:rsid w:val="00C77B60"/>
    <w:rsid w:val="00C84744"/>
    <w:rsid w:val="00C94A98"/>
    <w:rsid w:val="00C95B48"/>
    <w:rsid w:val="00CA2E10"/>
    <w:rsid w:val="00CB7444"/>
    <w:rsid w:val="00CC01BA"/>
    <w:rsid w:val="00CC2C97"/>
    <w:rsid w:val="00CC33B0"/>
    <w:rsid w:val="00CC3650"/>
    <w:rsid w:val="00CC4DEE"/>
    <w:rsid w:val="00CC555C"/>
    <w:rsid w:val="00CD263D"/>
    <w:rsid w:val="00CD5E5C"/>
    <w:rsid w:val="00CD7E8D"/>
    <w:rsid w:val="00CE18F9"/>
    <w:rsid w:val="00CF20FD"/>
    <w:rsid w:val="00CF474F"/>
    <w:rsid w:val="00CF53DB"/>
    <w:rsid w:val="00D02369"/>
    <w:rsid w:val="00D07682"/>
    <w:rsid w:val="00D11826"/>
    <w:rsid w:val="00D15677"/>
    <w:rsid w:val="00D20803"/>
    <w:rsid w:val="00D22FAC"/>
    <w:rsid w:val="00D24D98"/>
    <w:rsid w:val="00D259A4"/>
    <w:rsid w:val="00D311BF"/>
    <w:rsid w:val="00D31AE2"/>
    <w:rsid w:val="00D32CED"/>
    <w:rsid w:val="00D334DF"/>
    <w:rsid w:val="00D34F2B"/>
    <w:rsid w:val="00D3743B"/>
    <w:rsid w:val="00D41A52"/>
    <w:rsid w:val="00D52A78"/>
    <w:rsid w:val="00D56BF8"/>
    <w:rsid w:val="00D57782"/>
    <w:rsid w:val="00D63094"/>
    <w:rsid w:val="00D67539"/>
    <w:rsid w:val="00D760B6"/>
    <w:rsid w:val="00D817F1"/>
    <w:rsid w:val="00D91B6B"/>
    <w:rsid w:val="00D9395A"/>
    <w:rsid w:val="00D943A7"/>
    <w:rsid w:val="00D94BD8"/>
    <w:rsid w:val="00D94F87"/>
    <w:rsid w:val="00D97112"/>
    <w:rsid w:val="00D977E8"/>
    <w:rsid w:val="00DA24FA"/>
    <w:rsid w:val="00DA2F11"/>
    <w:rsid w:val="00DB2769"/>
    <w:rsid w:val="00DB419A"/>
    <w:rsid w:val="00DB456C"/>
    <w:rsid w:val="00DB626A"/>
    <w:rsid w:val="00DC6795"/>
    <w:rsid w:val="00DD1B23"/>
    <w:rsid w:val="00DD4233"/>
    <w:rsid w:val="00DD53C2"/>
    <w:rsid w:val="00DD57C0"/>
    <w:rsid w:val="00DD5A35"/>
    <w:rsid w:val="00DD623B"/>
    <w:rsid w:val="00DD7A56"/>
    <w:rsid w:val="00DE1E77"/>
    <w:rsid w:val="00DE3704"/>
    <w:rsid w:val="00DE5DFC"/>
    <w:rsid w:val="00DE6B3F"/>
    <w:rsid w:val="00DF35C4"/>
    <w:rsid w:val="00DF3D61"/>
    <w:rsid w:val="00DF3F59"/>
    <w:rsid w:val="00DF450D"/>
    <w:rsid w:val="00DF7955"/>
    <w:rsid w:val="00DF7CE4"/>
    <w:rsid w:val="00E0021B"/>
    <w:rsid w:val="00E0076F"/>
    <w:rsid w:val="00E042CC"/>
    <w:rsid w:val="00E05E2C"/>
    <w:rsid w:val="00E06139"/>
    <w:rsid w:val="00E0763C"/>
    <w:rsid w:val="00E10C85"/>
    <w:rsid w:val="00E13055"/>
    <w:rsid w:val="00E15AAD"/>
    <w:rsid w:val="00E1698B"/>
    <w:rsid w:val="00E259C4"/>
    <w:rsid w:val="00E26A2B"/>
    <w:rsid w:val="00E26AF2"/>
    <w:rsid w:val="00E304D2"/>
    <w:rsid w:val="00E31C02"/>
    <w:rsid w:val="00E34BFA"/>
    <w:rsid w:val="00E364F3"/>
    <w:rsid w:val="00E43A0F"/>
    <w:rsid w:val="00E519AC"/>
    <w:rsid w:val="00E52030"/>
    <w:rsid w:val="00E522F7"/>
    <w:rsid w:val="00E527F6"/>
    <w:rsid w:val="00E5705B"/>
    <w:rsid w:val="00E57A95"/>
    <w:rsid w:val="00E634C4"/>
    <w:rsid w:val="00E64EFB"/>
    <w:rsid w:val="00E65747"/>
    <w:rsid w:val="00E67342"/>
    <w:rsid w:val="00E67DBC"/>
    <w:rsid w:val="00E84D6F"/>
    <w:rsid w:val="00E85F43"/>
    <w:rsid w:val="00E90125"/>
    <w:rsid w:val="00E90D53"/>
    <w:rsid w:val="00EA5770"/>
    <w:rsid w:val="00EB1579"/>
    <w:rsid w:val="00EB34A4"/>
    <w:rsid w:val="00EB59E6"/>
    <w:rsid w:val="00EB6426"/>
    <w:rsid w:val="00EC02B0"/>
    <w:rsid w:val="00EC1873"/>
    <w:rsid w:val="00EC3ED7"/>
    <w:rsid w:val="00ED0E75"/>
    <w:rsid w:val="00ED3C90"/>
    <w:rsid w:val="00ED45A0"/>
    <w:rsid w:val="00ED7E5A"/>
    <w:rsid w:val="00EE265F"/>
    <w:rsid w:val="00EE5810"/>
    <w:rsid w:val="00EF1751"/>
    <w:rsid w:val="00EF5F9A"/>
    <w:rsid w:val="00F00432"/>
    <w:rsid w:val="00F00EBC"/>
    <w:rsid w:val="00F0251B"/>
    <w:rsid w:val="00F0712A"/>
    <w:rsid w:val="00F1040C"/>
    <w:rsid w:val="00F10670"/>
    <w:rsid w:val="00F10A15"/>
    <w:rsid w:val="00F1137F"/>
    <w:rsid w:val="00F11FDC"/>
    <w:rsid w:val="00F12498"/>
    <w:rsid w:val="00F13D9B"/>
    <w:rsid w:val="00F1535B"/>
    <w:rsid w:val="00F17486"/>
    <w:rsid w:val="00F23550"/>
    <w:rsid w:val="00F24194"/>
    <w:rsid w:val="00F26A5B"/>
    <w:rsid w:val="00F3038B"/>
    <w:rsid w:val="00F32FBE"/>
    <w:rsid w:val="00F34A53"/>
    <w:rsid w:val="00F371CA"/>
    <w:rsid w:val="00F44501"/>
    <w:rsid w:val="00F447B8"/>
    <w:rsid w:val="00F461CD"/>
    <w:rsid w:val="00F46944"/>
    <w:rsid w:val="00F504C5"/>
    <w:rsid w:val="00F51B4A"/>
    <w:rsid w:val="00F53B64"/>
    <w:rsid w:val="00F64A96"/>
    <w:rsid w:val="00F66614"/>
    <w:rsid w:val="00F83382"/>
    <w:rsid w:val="00F94B84"/>
    <w:rsid w:val="00F95198"/>
    <w:rsid w:val="00F96D6A"/>
    <w:rsid w:val="00F97545"/>
    <w:rsid w:val="00FA1A5E"/>
    <w:rsid w:val="00FA54B5"/>
    <w:rsid w:val="00FB0E9D"/>
    <w:rsid w:val="00FB18E6"/>
    <w:rsid w:val="00FB1AD4"/>
    <w:rsid w:val="00FB4ECF"/>
    <w:rsid w:val="00FB56A0"/>
    <w:rsid w:val="00FB5FFA"/>
    <w:rsid w:val="00FC6AE0"/>
    <w:rsid w:val="00FD3ABD"/>
    <w:rsid w:val="00FD4460"/>
    <w:rsid w:val="00FD73CD"/>
    <w:rsid w:val="00FE0661"/>
    <w:rsid w:val="00FF2A85"/>
    <w:rsid w:val="00FF4268"/>
    <w:rsid w:val="00FF756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locked="1" w:qFormat="1"/>
    <w:lsdException w:name="heading 1" w:qFormat="1"/>
    <w:lsdException w:name="heading 2" w:qFormat="1"/>
    <w:lsdException w:name="heading 3"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toc 1" w:uiPriority="39"/>
    <w:lsdException w:name="toc 2" w:uiPriority="39"/>
    <w:lsdException w:name="toc 3" w:uiPriority="39"/>
    <w:lsdException w:name="toc 4" w:uiPriority="39"/>
    <w:lsdException w:name="caption" w:locked="1" w:semiHidden="1" w:unhideWhenUsed="1" w:qFormat="1"/>
    <w:lsdException w:name="table of figures" w:uiPriority="99"/>
    <w:lsdException w:name="Hyperlink" w:uiPriority="99"/>
    <w:lsdException w:name="Emphasis" w:uiPriority="20" w:qFormat="1"/>
    <w:lsdException w:name="Normal (Web)" w:uiPriority="99"/>
    <w:lsdException w:name="No List" w:uiPriority="99"/>
    <w:lsdException w:name="Table Grid" w:lock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Intense Emphasis" w:uiPriority="21"/>
    <w:lsdException w:name="Subtle Reference" w:uiPriority="31"/>
    <w:lsdException w:name="Intense Reference" w:uiPriority="32"/>
    <w:lsdException w:name="Bibliography" w:semiHidden="1" w:uiPriority="37" w:unhideWhenUsed="1"/>
    <w:lsdException w:name="TOC Heading" w:semiHidden="1" w:uiPriority="39" w:unhideWhenUsed="1" w:qFormat="1"/>
  </w:latentStyles>
  <w:style w:type="paragraph" w:default="1" w:styleId="Normal">
    <w:name w:val="Normal"/>
    <w:qFormat/>
    <w:rsid w:val="004774B9"/>
    <w:rPr>
      <w:sz w:val="24"/>
    </w:rPr>
  </w:style>
  <w:style w:type="paragraph" w:styleId="Heading1">
    <w:name w:val="heading 1"/>
    <w:basedOn w:val="Normal"/>
    <w:next w:val="Normal"/>
    <w:link w:val="Heading1Char"/>
    <w:qFormat/>
    <w:rsid w:val="004774B9"/>
    <w:pPr>
      <w:keepNext/>
      <w:jc w:val="center"/>
      <w:outlineLvl w:val="0"/>
    </w:pPr>
    <w:rPr>
      <w:rFonts w:ascii="Arial" w:hAnsi="Arial" w:cs="Arial"/>
      <w:b/>
      <w:bCs/>
      <w:caps/>
      <w:kern w:val="32"/>
      <w:sz w:val="28"/>
      <w:szCs w:val="24"/>
    </w:rPr>
  </w:style>
  <w:style w:type="paragraph" w:styleId="Heading2">
    <w:name w:val="heading 2"/>
    <w:basedOn w:val="Normal"/>
    <w:next w:val="Normal"/>
    <w:link w:val="Heading2Char"/>
    <w:qFormat/>
    <w:rsid w:val="004774B9"/>
    <w:pPr>
      <w:keepNext/>
      <w:spacing w:after="120"/>
      <w:outlineLvl w:val="1"/>
    </w:pPr>
    <w:rPr>
      <w:rFonts w:ascii="Arial Bold" w:hAnsi="Arial Bold" w:cs="Arial"/>
      <w:b/>
      <w:bCs/>
      <w:iCs/>
      <w:szCs w:val="24"/>
    </w:rPr>
  </w:style>
  <w:style w:type="paragraph" w:styleId="Heading3">
    <w:name w:val="heading 3"/>
    <w:basedOn w:val="Normal"/>
    <w:next w:val="Normal"/>
    <w:link w:val="Heading3Char"/>
    <w:qFormat/>
    <w:rsid w:val="004774B9"/>
    <w:pPr>
      <w:keepNext/>
      <w:spacing w:after="120"/>
      <w:outlineLvl w:val="2"/>
    </w:pPr>
    <w:rPr>
      <w:rFonts w:ascii="Arial" w:hAnsi="Arial" w:cs="Arial"/>
      <w:u w:val="single"/>
    </w:rPr>
  </w:style>
  <w:style w:type="paragraph" w:styleId="Heading4">
    <w:name w:val="heading 4"/>
    <w:basedOn w:val="Normal"/>
    <w:next w:val="Normal"/>
    <w:link w:val="Heading4Char"/>
    <w:qFormat/>
    <w:locked/>
    <w:rsid w:val="004774B9"/>
    <w:pPr>
      <w:keepNext/>
      <w:spacing w:after="120"/>
      <w:outlineLvl w:val="3"/>
    </w:pPr>
    <w:rPr>
      <w:rFonts w:ascii="Arial" w:eastAsiaTheme="minorEastAsia" w:hAnsi="Arial" w:cstheme="minorBidi"/>
      <w:i/>
    </w:rPr>
  </w:style>
  <w:style w:type="paragraph" w:styleId="Heading5">
    <w:name w:val="heading 5"/>
    <w:basedOn w:val="Normal"/>
    <w:next w:val="Normal"/>
    <w:link w:val="Heading5Char"/>
    <w:qFormat/>
    <w:locked/>
    <w:rsid w:val="004774B9"/>
    <w:pPr>
      <w:keepNext/>
      <w:spacing w:after="120"/>
      <w:ind w:left="288"/>
      <w:outlineLvl w:val="4"/>
    </w:pPr>
    <w:rPr>
      <w:rFonts w:eastAsiaTheme="minorEastAsia" w:cstheme="minorBidi"/>
      <w:b/>
    </w:rPr>
  </w:style>
  <w:style w:type="paragraph" w:styleId="Heading6">
    <w:name w:val="heading 6"/>
    <w:basedOn w:val="Normal"/>
    <w:next w:val="Normal"/>
    <w:link w:val="Heading6Char"/>
    <w:qFormat/>
    <w:locked/>
    <w:rsid w:val="004774B9"/>
    <w:pPr>
      <w:keepNext/>
      <w:ind w:left="288"/>
      <w:outlineLvl w:val="5"/>
    </w:pPr>
    <w:rPr>
      <w:rFonts w:eastAsiaTheme="minorEastAsia" w:cstheme="minorBidi"/>
      <w:u w:val="single"/>
    </w:rPr>
  </w:style>
  <w:style w:type="paragraph" w:styleId="Heading7">
    <w:name w:val="heading 7"/>
    <w:basedOn w:val="Normal"/>
    <w:next w:val="Normal"/>
    <w:link w:val="Heading7Char"/>
    <w:qFormat/>
    <w:locked/>
    <w:rsid w:val="004774B9"/>
    <w:pPr>
      <w:keepNext/>
      <w:spacing w:after="120"/>
      <w:outlineLvl w:val="6"/>
    </w:pPr>
    <w:rPr>
      <w:rFonts w:eastAsiaTheme="minorEastAsia" w:cstheme="minorBidi"/>
      <w:i/>
    </w:rPr>
  </w:style>
  <w:style w:type="paragraph" w:styleId="Heading8">
    <w:name w:val="heading 8"/>
    <w:aliases w:val="Figure Caption"/>
    <w:basedOn w:val="Normal"/>
    <w:next w:val="Normal"/>
    <w:link w:val="Heading8Char"/>
    <w:semiHidden/>
    <w:unhideWhenUsed/>
    <w:qFormat/>
    <w:locked/>
    <w:rsid w:val="004774B9"/>
    <w:pPr>
      <w:keepNext/>
      <w:spacing w:before="240" w:after="240"/>
      <w:jc w:val="center"/>
      <w:outlineLvl w:val="7"/>
    </w:pPr>
    <w:rPr>
      <w:rFonts w:eastAsiaTheme="minorEastAsia" w:cstheme="minorBidi"/>
      <w:iCs/>
      <w:szCs w:val="24"/>
    </w:rPr>
  </w:style>
  <w:style w:type="paragraph" w:styleId="Heading9">
    <w:name w:val="heading 9"/>
    <w:aliases w:val="Table caption"/>
    <w:basedOn w:val="Normal"/>
    <w:next w:val="Normal"/>
    <w:link w:val="Heading9Char"/>
    <w:qFormat/>
    <w:locked/>
    <w:rsid w:val="004774B9"/>
    <w:pPr>
      <w:keepNext/>
      <w:spacing w:before="240" w:after="240"/>
      <w:jc w:val="center"/>
      <w:outlineLvl w:val="8"/>
    </w:pPr>
    <w:rPr>
      <w:rFonts w:eastAsiaTheme="majorEastAsia"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PTechH1">
    <w:name w:val="APTech H1"/>
    <w:rsid w:val="00203853"/>
    <w:pPr>
      <w:spacing w:line="480" w:lineRule="auto"/>
      <w:jc w:val="center"/>
      <w:outlineLvl w:val="0"/>
    </w:pPr>
    <w:rPr>
      <w:rFonts w:ascii="Arial" w:hAnsi="Arial" w:cs="Arial"/>
      <w:b/>
      <w:bCs/>
      <w:caps/>
      <w:kern w:val="32"/>
      <w:sz w:val="28"/>
      <w:szCs w:val="32"/>
    </w:rPr>
  </w:style>
  <w:style w:type="paragraph" w:customStyle="1" w:styleId="APTechH2">
    <w:name w:val="APTech H2"/>
    <w:rsid w:val="00203853"/>
    <w:pPr>
      <w:keepNext/>
      <w:spacing w:after="120"/>
      <w:outlineLvl w:val="1"/>
    </w:pPr>
    <w:rPr>
      <w:rFonts w:ascii="Arial" w:hAnsi="Arial" w:cs="Arial"/>
      <w:b/>
      <w:bCs/>
      <w:kern w:val="32"/>
      <w:sz w:val="24"/>
      <w:szCs w:val="32"/>
    </w:rPr>
  </w:style>
  <w:style w:type="paragraph" w:customStyle="1" w:styleId="APTechH3">
    <w:name w:val="APTech H3"/>
    <w:rsid w:val="00203853"/>
    <w:pPr>
      <w:keepNext/>
      <w:spacing w:after="120"/>
      <w:outlineLvl w:val="2"/>
    </w:pPr>
    <w:rPr>
      <w:rFonts w:ascii="Arial" w:hAnsi="Arial" w:cs="Arial"/>
      <w:bCs/>
      <w:kern w:val="32"/>
      <w:sz w:val="24"/>
      <w:szCs w:val="32"/>
      <w:u w:val="single"/>
    </w:rPr>
  </w:style>
  <w:style w:type="paragraph" w:customStyle="1" w:styleId="APTechH4">
    <w:name w:val="APTech H4"/>
    <w:rsid w:val="00203853"/>
    <w:pPr>
      <w:keepNext/>
      <w:spacing w:after="120"/>
      <w:outlineLvl w:val="3"/>
    </w:pPr>
    <w:rPr>
      <w:rFonts w:ascii="Arial" w:hAnsi="Arial" w:cs="Arial"/>
      <w:bCs/>
      <w:i/>
      <w:kern w:val="32"/>
      <w:sz w:val="24"/>
      <w:szCs w:val="32"/>
    </w:rPr>
  </w:style>
  <w:style w:type="paragraph" w:customStyle="1" w:styleId="APTechH5">
    <w:name w:val="APTech H5"/>
    <w:rsid w:val="00203853"/>
    <w:pPr>
      <w:keepNext/>
      <w:spacing w:after="120"/>
      <w:ind w:left="720"/>
      <w:outlineLvl w:val="4"/>
    </w:pPr>
    <w:rPr>
      <w:rFonts w:cs="Arial"/>
      <w:b/>
      <w:bCs/>
      <w:kern w:val="32"/>
      <w:sz w:val="24"/>
      <w:szCs w:val="32"/>
    </w:rPr>
  </w:style>
  <w:style w:type="paragraph" w:customStyle="1" w:styleId="APTechH6">
    <w:name w:val="APTech H6"/>
    <w:rsid w:val="00203853"/>
    <w:pPr>
      <w:keepNext/>
      <w:spacing w:after="120"/>
      <w:ind w:left="720"/>
      <w:outlineLvl w:val="5"/>
    </w:pPr>
    <w:rPr>
      <w:rFonts w:cs="Arial"/>
      <w:bCs/>
      <w:kern w:val="32"/>
      <w:sz w:val="24"/>
      <w:szCs w:val="32"/>
      <w:u w:val="single"/>
    </w:rPr>
  </w:style>
  <w:style w:type="paragraph" w:customStyle="1" w:styleId="APTechH7">
    <w:name w:val="APTech H7"/>
    <w:rsid w:val="00203853"/>
    <w:pPr>
      <w:keepNext/>
      <w:spacing w:after="120"/>
      <w:ind w:left="720"/>
      <w:outlineLvl w:val="6"/>
    </w:pPr>
    <w:rPr>
      <w:rFonts w:cs="Arial"/>
      <w:bCs/>
      <w:i/>
      <w:kern w:val="32"/>
      <w:sz w:val="24"/>
      <w:szCs w:val="32"/>
    </w:rPr>
  </w:style>
  <w:style w:type="paragraph" w:customStyle="1" w:styleId="APTechParagraph">
    <w:name w:val="APTech Paragraph"/>
    <w:link w:val="APTechParagraphChar"/>
    <w:uiPriority w:val="99"/>
    <w:rsid w:val="0088557A"/>
    <w:rPr>
      <w:sz w:val="24"/>
      <w:szCs w:val="24"/>
    </w:rPr>
  </w:style>
  <w:style w:type="paragraph" w:customStyle="1" w:styleId="APTechBullets">
    <w:name w:val="APTech Bullets"/>
    <w:rsid w:val="008C78AB"/>
    <w:pPr>
      <w:numPr>
        <w:numId w:val="2"/>
      </w:numPr>
      <w:spacing w:after="120"/>
    </w:pPr>
    <w:rPr>
      <w:sz w:val="24"/>
      <w:szCs w:val="24"/>
    </w:rPr>
  </w:style>
  <w:style w:type="paragraph" w:customStyle="1" w:styleId="APTechTableCaption">
    <w:name w:val="APTech Table Caption"/>
    <w:basedOn w:val="Normal"/>
    <w:rsid w:val="00203853"/>
    <w:pPr>
      <w:keepNext/>
      <w:spacing w:after="120"/>
      <w:jc w:val="center"/>
    </w:pPr>
  </w:style>
  <w:style w:type="paragraph" w:customStyle="1" w:styleId="APTechFigureCaption">
    <w:name w:val="APTech Figure Caption"/>
    <w:basedOn w:val="APTechTableCaption"/>
    <w:rsid w:val="004B4E81"/>
    <w:pPr>
      <w:keepNext w:val="0"/>
      <w:spacing w:before="120" w:after="0"/>
    </w:pPr>
  </w:style>
  <w:style w:type="paragraph" w:customStyle="1" w:styleId="APTechNumberlist">
    <w:name w:val="APTech Number list"/>
    <w:basedOn w:val="APTechBullets"/>
    <w:rsid w:val="00203853"/>
    <w:pPr>
      <w:numPr>
        <w:numId w:val="1"/>
      </w:numPr>
    </w:pPr>
  </w:style>
  <w:style w:type="paragraph" w:customStyle="1" w:styleId="APTechReference">
    <w:name w:val="APTech Reference"/>
    <w:basedOn w:val="APTechParagraph"/>
    <w:rsid w:val="00203853"/>
  </w:style>
  <w:style w:type="paragraph" w:styleId="Header">
    <w:name w:val="header"/>
    <w:basedOn w:val="Normal"/>
    <w:link w:val="HeaderChar"/>
    <w:rsid w:val="00203853"/>
    <w:pPr>
      <w:tabs>
        <w:tab w:val="center" w:pos="4320"/>
        <w:tab w:val="right" w:pos="8640"/>
      </w:tabs>
    </w:pPr>
  </w:style>
  <w:style w:type="paragraph" w:styleId="Footer">
    <w:name w:val="footer"/>
    <w:basedOn w:val="Normal"/>
    <w:link w:val="FooterChar"/>
    <w:rsid w:val="00203853"/>
    <w:pPr>
      <w:tabs>
        <w:tab w:val="center" w:pos="4320"/>
        <w:tab w:val="right" w:pos="8640"/>
      </w:tabs>
    </w:pPr>
  </w:style>
  <w:style w:type="paragraph" w:customStyle="1" w:styleId="APTechBullets1">
    <w:name w:val="APTech Bullets1"/>
    <w:next w:val="APTechBullets"/>
    <w:rsid w:val="003B6B18"/>
    <w:pPr>
      <w:tabs>
        <w:tab w:val="num" w:pos="720"/>
      </w:tabs>
      <w:ind w:left="720" w:hanging="360"/>
    </w:pPr>
    <w:rPr>
      <w:sz w:val="24"/>
      <w:szCs w:val="24"/>
    </w:rPr>
  </w:style>
  <w:style w:type="paragraph" w:styleId="ListParagraph">
    <w:name w:val="List Paragraph"/>
    <w:basedOn w:val="Normal"/>
    <w:qFormat/>
    <w:rsid w:val="00465FE6"/>
    <w:pPr>
      <w:ind w:left="720"/>
      <w:contextualSpacing/>
    </w:pPr>
  </w:style>
  <w:style w:type="character" w:styleId="Emphasis">
    <w:name w:val="Emphasis"/>
    <w:basedOn w:val="DefaultParagraphFont"/>
    <w:uiPriority w:val="20"/>
    <w:qFormat/>
    <w:rsid w:val="00465FE6"/>
    <w:rPr>
      <w:rFonts w:cs="Times New Roman"/>
      <w:i/>
      <w:iCs/>
    </w:rPr>
  </w:style>
  <w:style w:type="character" w:styleId="SubtleEmphasis">
    <w:name w:val="Subtle Emphasis"/>
    <w:basedOn w:val="DefaultParagraphFont"/>
    <w:rsid w:val="00465FE6"/>
    <w:rPr>
      <w:rFonts w:cs="Times New Roman"/>
      <w:i/>
      <w:iCs/>
      <w:color w:val="808080"/>
    </w:rPr>
  </w:style>
  <w:style w:type="character" w:styleId="BookTitle">
    <w:name w:val="Book Title"/>
    <w:basedOn w:val="DefaultParagraphFont"/>
    <w:rsid w:val="00465FE6"/>
    <w:rPr>
      <w:rFonts w:cs="Times New Roman"/>
      <w:b/>
      <w:bCs/>
      <w:smallCaps/>
      <w:spacing w:val="5"/>
    </w:rPr>
  </w:style>
  <w:style w:type="character" w:styleId="PlaceholderText">
    <w:name w:val="Placeholder Text"/>
    <w:basedOn w:val="DefaultParagraphFont"/>
    <w:semiHidden/>
    <w:rsid w:val="007929D2"/>
    <w:rPr>
      <w:rFonts w:cs="Times New Roman"/>
      <w:color w:val="808080"/>
    </w:rPr>
  </w:style>
  <w:style w:type="paragraph" w:styleId="BalloonText">
    <w:name w:val="Balloon Text"/>
    <w:basedOn w:val="Normal"/>
    <w:link w:val="BalloonTextChar"/>
    <w:rsid w:val="007929D2"/>
    <w:rPr>
      <w:rFonts w:ascii="Tahoma" w:hAnsi="Tahoma" w:cs="Tahoma"/>
      <w:sz w:val="16"/>
      <w:szCs w:val="16"/>
    </w:rPr>
  </w:style>
  <w:style w:type="character" w:customStyle="1" w:styleId="BalloonTextChar">
    <w:name w:val="Balloon Text Char"/>
    <w:basedOn w:val="DefaultParagraphFont"/>
    <w:link w:val="BalloonText"/>
    <w:locked/>
    <w:rsid w:val="007929D2"/>
    <w:rPr>
      <w:rFonts w:ascii="Tahoma" w:hAnsi="Tahoma" w:cs="Tahoma"/>
      <w:sz w:val="16"/>
      <w:szCs w:val="16"/>
    </w:rPr>
  </w:style>
  <w:style w:type="table" w:styleId="TableGrid">
    <w:name w:val="Table Grid"/>
    <w:basedOn w:val="TableNormal"/>
    <w:rsid w:val="00B7018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CommentReference">
    <w:name w:val="annotation reference"/>
    <w:basedOn w:val="DefaultParagraphFont"/>
    <w:rsid w:val="00327517"/>
    <w:rPr>
      <w:rFonts w:cs="Times New Roman"/>
      <w:sz w:val="16"/>
      <w:szCs w:val="16"/>
    </w:rPr>
  </w:style>
  <w:style w:type="paragraph" w:styleId="CommentText">
    <w:name w:val="annotation text"/>
    <w:basedOn w:val="Normal"/>
    <w:link w:val="CommentTextChar"/>
    <w:rsid w:val="00327517"/>
    <w:rPr>
      <w:sz w:val="20"/>
    </w:rPr>
  </w:style>
  <w:style w:type="character" w:customStyle="1" w:styleId="CommentTextChar">
    <w:name w:val="Comment Text Char"/>
    <w:basedOn w:val="DefaultParagraphFont"/>
    <w:link w:val="CommentText"/>
    <w:locked/>
    <w:rsid w:val="00327517"/>
    <w:rPr>
      <w:rFonts w:cs="Times New Roman"/>
    </w:rPr>
  </w:style>
  <w:style w:type="paragraph" w:styleId="CommentSubject">
    <w:name w:val="annotation subject"/>
    <w:basedOn w:val="CommentText"/>
    <w:next w:val="CommentText"/>
    <w:link w:val="CommentSubjectChar"/>
    <w:rsid w:val="00327517"/>
    <w:rPr>
      <w:b/>
      <w:bCs/>
    </w:rPr>
  </w:style>
  <w:style w:type="character" w:customStyle="1" w:styleId="CommentSubjectChar">
    <w:name w:val="Comment Subject Char"/>
    <w:basedOn w:val="CommentTextChar"/>
    <w:link w:val="CommentSubject"/>
    <w:locked/>
    <w:rsid w:val="00327517"/>
    <w:rPr>
      <w:rFonts w:cs="Times New Roman"/>
      <w:b/>
      <w:bCs/>
    </w:rPr>
  </w:style>
  <w:style w:type="paragraph" w:styleId="FootnoteText">
    <w:name w:val="footnote text"/>
    <w:basedOn w:val="Normal"/>
    <w:link w:val="FootnoteTextChar"/>
    <w:rsid w:val="00BD77A5"/>
    <w:rPr>
      <w:sz w:val="20"/>
    </w:rPr>
  </w:style>
  <w:style w:type="character" w:customStyle="1" w:styleId="FootnoteTextChar">
    <w:name w:val="Footnote Text Char"/>
    <w:basedOn w:val="DefaultParagraphFont"/>
    <w:link w:val="FootnoteText"/>
    <w:locked/>
    <w:rsid w:val="00BD77A5"/>
    <w:rPr>
      <w:rFonts w:cs="Times New Roman"/>
    </w:rPr>
  </w:style>
  <w:style w:type="character" w:styleId="FootnoteReference">
    <w:name w:val="footnote reference"/>
    <w:basedOn w:val="DefaultParagraphFont"/>
    <w:rsid w:val="00BD77A5"/>
    <w:rPr>
      <w:rFonts w:cs="Times New Roman"/>
      <w:vertAlign w:val="superscript"/>
    </w:rPr>
  </w:style>
  <w:style w:type="character" w:customStyle="1" w:styleId="A8">
    <w:name w:val="A8"/>
    <w:rsid w:val="0002287E"/>
    <w:rPr>
      <w:color w:val="221E1F"/>
      <w:sz w:val="20"/>
    </w:rPr>
  </w:style>
  <w:style w:type="character" w:customStyle="1" w:styleId="A5">
    <w:name w:val="A5"/>
    <w:rsid w:val="0002287E"/>
    <w:rPr>
      <w:color w:val="221E1F"/>
      <w:sz w:val="26"/>
    </w:rPr>
  </w:style>
  <w:style w:type="character" w:customStyle="1" w:styleId="A6">
    <w:name w:val="A6"/>
    <w:rsid w:val="0002287E"/>
    <w:rPr>
      <w:color w:val="221E1F"/>
      <w:sz w:val="15"/>
    </w:rPr>
  </w:style>
  <w:style w:type="character" w:styleId="Hyperlink">
    <w:name w:val="Hyperlink"/>
    <w:basedOn w:val="DefaultParagraphFont"/>
    <w:uiPriority w:val="99"/>
    <w:rsid w:val="006B2E6C"/>
    <w:rPr>
      <w:rFonts w:cs="Times New Roman"/>
      <w:color w:val="0000FF"/>
      <w:u w:val="single"/>
    </w:rPr>
  </w:style>
  <w:style w:type="paragraph" w:styleId="TOC2">
    <w:name w:val="toc 2"/>
    <w:basedOn w:val="Normal"/>
    <w:next w:val="Normal"/>
    <w:uiPriority w:val="39"/>
    <w:unhideWhenUsed/>
    <w:rsid w:val="004B4E81"/>
    <w:pPr>
      <w:tabs>
        <w:tab w:val="right" w:leader="dot" w:pos="9350"/>
      </w:tabs>
      <w:spacing w:after="120"/>
    </w:pPr>
    <w:rPr>
      <w:rFonts w:ascii="Arial" w:hAnsi="Arial" w:cs="Arial"/>
      <w:b/>
      <w:noProof/>
      <w:szCs w:val="22"/>
    </w:rPr>
  </w:style>
  <w:style w:type="paragraph" w:styleId="TableofFigures">
    <w:name w:val="table of figures"/>
    <w:basedOn w:val="Normal"/>
    <w:next w:val="Normal"/>
    <w:uiPriority w:val="99"/>
    <w:rsid w:val="00807111"/>
  </w:style>
  <w:style w:type="paragraph" w:styleId="TOC1">
    <w:name w:val="toc 1"/>
    <w:basedOn w:val="Normal"/>
    <w:next w:val="Normal"/>
    <w:autoRedefine/>
    <w:uiPriority w:val="39"/>
    <w:unhideWhenUsed/>
    <w:rsid w:val="00807111"/>
    <w:pPr>
      <w:spacing w:after="100"/>
    </w:pPr>
  </w:style>
  <w:style w:type="paragraph" w:styleId="TOC3">
    <w:name w:val="toc 3"/>
    <w:basedOn w:val="Normal"/>
    <w:next w:val="Normal"/>
    <w:uiPriority w:val="39"/>
    <w:unhideWhenUsed/>
    <w:rsid w:val="004B4E81"/>
    <w:pPr>
      <w:tabs>
        <w:tab w:val="right" w:leader="dot" w:pos="9350"/>
      </w:tabs>
      <w:spacing w:after="100"/>
      <w:ind w:left="360"/>
    </w:pPr>
    <w:rPr>
      <w:rFonts w:ascii="Arial" w:hAnsi="Arial"/>
      <w:u w:val="single"/>
    </w:rPr>
  </w:style>
  <w:style w:type="character" w:customStyle="1" w:styleId="FooterChar">
    <w:name w:val="Footer Char"/>
    <w:basedOn w:val="DefaultParagraphFont"/>
    <w:link w:val="Footer"/>
    <w:rsid w:val="00807111"/>
    <w:rPr>
      <w:sz w:val="24"/>
      <w:szCs w:val="24"/>
    </w:rPr>
  </w:style>
  <w:style w:type="character" w:customStyle="1" w:styleId="Heading1Char">
    <w:name w:val="Heading 1 Char"/>
    <w:basedOn w:val="DefaultParagraphFont"/>
    <w:link w:val="Heading1"/>
    <w:rsid w:val="004774B9"/>
    <w:rPr>
      <w:rFonts w:ascii="Arial" w:hAnsi="Arial" w:cs="Arial"/>
      <w:b/>
      <w:bCs/>
      <w:caps/>
      <w:kern w:val="32"/>
      <w:sz w:val="28"/>
      <w:szCs w:val="24"/>
    </w:rPr>
  </w:style>
  <w:style w:type="character" w:customStyle="1" w:styleId="Heading2Char">
    <w:name w:val="Heading 2 Char"/>
    <w:basedOn w:val="DefaultParagraphFont"/>
    <w:link w:val="Heading2"/>
    <w:rsid w:val="004774B9"/>
    <w:rPr>
      <w:rFonts w:ascii="Arial Bold" w:hAnsi="Arial Bold" w:cs="Arial"/>
      <w:b/>
      <w:bCs/>
      <w:iCs/>
      <w:sz w:val="24"/>
      <w:szCs w:val="24"/>
    </w:rPr>
  </w:style>
  <w:style w:type="character" w:customStyle="1" w:styleId="Heading3Char">
    <w:name w:val="Heading 3 Char"/>
    <w:basedOn w:val="DefaultParagraphFont"/>
    <w:link w:val="Heading3"/>
    <w:rsid w:val="004774B9"/>
    <w:rPr>
      <w:rFonts w:ascii="Arial" w:hAnsi="Arial" w:cs="Arial"/>
      <w:sz w:val="24"/>
      <w:u w:val="single"/>
    </w:rPr>
  </w:style>
  <w:style w:type="character" w:customStyle="1" w:styleId="Heading4Char">
    <w:name w:val="Heading 4 Char"/>
    <w:basedOn w:val="DefaultParagraphFont"/>
    <w:link w:val="Heading4"/>
    <w:rsid w:val="004774B9"/>
    <w:rPr>
      <w:rFonts w:ascii="Arial" w:eastAsiaTheme="minorEastAsia" w:hAnsi="Arial" w:cstheme="minorBidi"/>
      <w:i/>
      <w:sz w:val="24"/>
    </w:rPr>
  </w:style>
  <w:style w:type="character" w:customStyle="1" w:styleId="Heading5Char">
    <w:name w:val="Heading 5 Char"/>
    <w:basedOn w:val="DefaultParagraphFont"/>
    <w:link w:val="Heading5"/>
    <w:rsid w:val="004774B9"/>
    <w:rPr>
      <w:rFonts w:eastAsiaTheme="minorEastAsia" w:cstheme="minorBidi"/>
      <w:b/>
      <w:sz w:val="24"/>
    </w:rPr>
  </w:style>
  <w:style w:type="character" w:customStyle="1" w:styleId="Heading6Char">
    <w:name w:val="Heading 6 Char"/>
    <w:basedOn w:val="DefaultParagraphFont"/>
    <w:link w:val="Heading6"/>
    <w:rsid w:val="004774B9"/>
    <w:rPr>
      <w:rFonts w:eastAsiaTheme="minorEastAsia" w:cstheme="minorBidi"/>
      <w:sz w:val="24"/>
      <w:u w:val="single"/>
    </w:rPr>
  </w:style>
  <w:style w:type="character" w:customStyle="1" w:styleId="Heading7Char">
    <w:name w:val="Heading 7 Char"/>
    <w:basedOn w:val="DefaultParagraphFont"/>
    <w:link w:val="Heading7"/>
    <w:rsid w:val="004774B9"/>
    <w:rPr>
      <w:rFonts w:eastAsiaTheme="minorEastAsia" w:cstheme="minorBidi"/>
      <w:i/>
      <w:sz w:val="24"/>
    </w:rPr>
  </w:style>
  <w:style w:type="character" w:customStyle="1" w:styleId="Heading8Char">
    <w:name w:val="Heading 8 Char"/>
    <w:aliases w:val="Figure Caption Char"/>
    <w:basedOn w:val="DefaultParagraphFont"/>
    <w:link w:val="Heading8"/>
    <w:rsid w:val="004774B9"/>
    <w:rPr>
      <w:rFonts w:eastAsiaTheme="minorEastAsia" w:cstheme="minorBidi"/>
      <w:iCs/>
      <w:sz w:val="24"/>
      <w:szCs w:val="24"/>
    </w:rPr>
  </w:style>
  <w:style w:type="character" w:customStyle="1" w:styleId="Heading9Char">
    <w:name w:val="Heading 9 Char"/>
    <w:aliases w:val="Table caption Char"/>
    <w:basedOn w:val="DefaultParagraphFont"/>
    <w:link w:val="Heading9"/>
    <w:rsid w:val="004774B9"/>
    <w:rPr>
      <w:rFonts w:eastAsiaTheme="majorEastAsia" w:cs="Arial"/>
      <w:sz w:val="24"/>
      <w:szCs w:val="22"/>
    </w:rPr>
  </w:style>
  <w:style w:type="paragraph" w:styleId="Quote">
    <w:name w:val="Quote"/>
    <w:basedOn w:val="Normal"/>
    <w:next w:val="Normal"/>
    <w:link w:val="QuoteChar"/>
    <w:uiPriority w:val="29"/>
    <w:qFormat/>
    <w:rsid w:val="004774B9"/>
    <w:rPr>
      <w:i/>
      <w:iCs/>
      <w:color w:val="000000" w:themeColor="text1"/>
    </w:rPr>
  </w:style>
  <w:style w:type="character" w:customStyle="1" w:styleId="QuoteChar">
    <w:name w:val="Quote Char"/>
    <w:basedOn w:val="DefaultParagraphFont"/>
    <w:link w:val="Quote"/>
    <w:uiPriority w:val="29"/>
    <w:rsid w:val="004774B9"/>
    <w:rPr>
      <w:i/>
      <w:iCs/>
      <w:color w:val="000000" w:themeColor="text1"/>
      <w:sz w:val="24"/>
    </w:rPr>
  </w:style>
  <w:style w:type="paragraph" w:styleId="TOCHeading">
    <w:name w:val="TOC Heading"/>
    <w:basedOn w:val="Heading1"/>
    <w:next w:val="Normal"/>
    <w:uiPriority w:val="39"/>
    <w:semiHidden/>
    <w:unhideWhenUsed/>
    <w:qFormat/>
    <w:rsid w:val="004774B9"/>
    <w:pPr>
      <w:spacing w:before="240" w:after="60"/>
      <w:outlineLvl w:val="9"/>
    </w:pPr>
    <w:rPr>
      <w:rFonts w:asciiTheme="majorHAnsi" w:eastAsiaTheme="majorEastAsia" w:hAnsiTheme="majorHAnsi" w:cstheme="majorBidi"/>
      <w:sz w:val="32"/>
      <w:szCs w:val="32"/>
    </w:rPr>
  </w:style>
  <w:style w:type="paragraph" w:styleId="Caption">
    <w:name w:val="caption"/>
    <w:basedOn w:val="Normal"/>
    <w:next w:val="Normal"/>
    <w:link w:val="CaptionChar"/>
    <w:unhideWhenUsed/>
    <w:qFormat/>
    <w:locked/>
    <w:rsid w:val="006F33A8"/>
    <w:pPr>
      <w:spacing w:before="240" w:after="240"/>
      <w:jc w:val="center"/>
    </w:pPr>
    <w:rPr>
      <w:bCs/>
      <w:szCs w:val="18"/>
    </w:rPr>
  </w:style>
  <w:style w:type="paragraph" w:styleId="DocumentMap">
    <w:name w:val="Document Map"/>
    <w:basedOn w:val="Normal"/>
    <w:link w:val="DocumentMapChar"/>
    <w:rsid w:val="00F95198"/>
    <w:rPr>
      <w:rFonts w:ascii="Tahoma" w:hAnsi="Tahoma" w:cs="Tahoma"/>
      <w:sz w:val="16"/>
      <w:szCs w:val="16"/>
    </w:rPr>
  </w:style>
  <w:style w:type="character" w:customStyle="1" w:styleId="DocumentMapChar">
    <w:name w:val="Document Map Char"/>
    <w:basedOn w:val="DefaultParagraphFont"/>
    <w:link w:val="DocumentMap"/>
    <w:rsid w:val="00F95198"/>
    <w:rPr>
      <w:rFonts w:ascii="Tahoma" w:hAnsi="Tahoma" w:cs="Tahoma"/>
      <w:sz w:val="16"/>
      <w:szCs w:val="16"/>
    </w:rPr>
  </w:style>
  <w:style w:type="character" w:customStyle="1" w:styleId="HeaderChar">
    <w:name w:val="Header Char"/>
    <w:basedOn w:val="DefaultParagraphFont"/>
    <w:link w:val="Header"/>
    <w:rsid w:val="004774B9"/>
    <w:rPr>
      <w:sz w:val="24"/>
    </w:rPr>
  </w:style>
  <w:style w:type="character" w:customStyle="1" w:styleId="body">
    <w:name w:val="body"/>
    <w:basedOn w:val="DefaultParagraphFont"/>
    <w:rsid w:val="004774B9"/>
    <w:rPr>
      <w:rFonts w:cs="Times New Roman"/>
    </w:rPr>
  </w:style>
  <w:style w:type="paragraph" w:styleId="BodyText">
    <w:name w:val="Body Text"/>
    <w:basedOn w:val="Normal"/>
    <w:link w:val="BodyTextChar"/>
    <w:rsid w:val="004774B9"/>
  </w:style>
  <w:style w:type="character" w:customStyle="1" w:styleId="BodyTextChar">
    <w:name w:val="Body Text Char"/>
    <w:basedOn w:val="DefaultParagraphFont"/>
    <w:link w:val="BodyText"/>
    <w:rsid w:val="004774B9"/>
    <w:rPr>
      <w:sz w:val="24"/>
    </w:rPr>
  </w:style>
  <w:style w:type="paragraph" w:styleId="BodyTextIndent">
    <w:name w:val="Body Text Indent"/>
    <w:basedOn w:val="Normal"/>
    <w:link w:val="BodyTextIndentChar"/>
    <w:rsid w:val="004774B9"/>
    <w:pPr>
      <w:spacing w:after="120"/>
      <w:ind w:left="360"/>
    </w:pPr>
    <w:rPr>
      <w:szCs w:val="24"/>
    </w:rPr>
  </w:style>
  <w:style w:type="character" w:customStyle="1" w:styleId="BodyTextIndentChar">
    <w:name w:val="Body Text Indent Char"/>
    <w:basedOn w:val="DefaultParagraphFont"/>
    <w:link w:val="BodyTextIndent"/>
    <w:rsid w:val="004774B9"/>
    <w:rPr>
      <w:sz w:val="24"/>
      <w:szCs w:val="24"/>
    </w:rPr>
  </w:style>
  <w:style w:type="paragraph" w:customStyle="1" w:styleId="Table">
    <w:name w:val="Table"/>
    <w:basedOn w:val="Caption"/>
    <w:rsid w:val="004774B9"/>
    <w:pPr>
      <w:spacing w:after="0"/>
    </w:pPr>
    <w:rPr>
      <w:b/>
      <w:bCs w:val="0"/>
      <w:szCs w:val="20"/>
    </w:rPr>
  </w:style>
  <w:style w:type="paragraph" w:customStyle="1" w:styleId="Caption2">
    <w:name w:val="Caption2"/>
    <w:basedOn w:val="TableofFigures"/>
    <w:rsid w:val="004774B9"/>
    <w:pPr>
      <w:tabs>
        <w:tab w:val="right" w:leader="dot" w:pos="9350"/>
      </w:tabs>
      <w:ind w:left="475" w:hanging="475"/>
      <w:jc w:val="center"/>
    </w:pPr>
    <w:rPr>
      <w:noProof/>
    </w:rPr>
  </w:style>
  <w:style w:type="paragraph" w:styleId="TOC4">
    <w:name w:val="toc 4"/>
    <w:basedOn w:val="Normal"/>
    <w:next w:val="Normal"/>
    <w:uiPriority w:val="39"/>
    <w:rsid w:val="004B4E81"/>
    <w:pPr>
      <w:spacing w:after="100"/>
      <w:ind w:left="720"/>
    </w:pPr>
    <w:rPr>
      <w:rFonts w:ascii="Arial" w:hAnsi="Arial"/>
      <w:i/>
    </w:rPr>
  </w:style>
  <w:style w:type="paragraph" w:styleId="NormalWeb">
    <w:name w:val="Normal (Web)"/>
    <w:basedOn w:val="Normal"/>
    <w:uiPriority w:val="99"/>
    <w:unhideWhenUsed/>
    <w:rsid w:val="00270505"/>
    <w:pPr>
      <w:spacing w:before="96" w:after="120" w:line="360" w:lineRule="atLeast"/>
    </w:pPr>
    <w:rPr>
      <w:szCs w:val="24"/>
    </w:rPr>
  </w:style>
  <w:style w:type="character" w:customStyle="1" w:styleId="CaptionChar">
    <w:name w:val="Caption Char"/>
    <w:basedOn w:val="DefaultParagraphFont"/>
    <w:link w:val="Caption"/>
    <w:uiPriority w:val="99"/>
    <w:locked/>
    <w:rsid w:val="00FB5FFA"/>
    <w:rPr>
      <w:bCs/>
      <w:sz w:val="24"/>
      <w:szCs w:val="18"/>
    </w:rPr>
  </w:style>
  <w:style w:type="character" w:styleId="FollowedHyperlink">
    <w:name w:val="FollowedHyperlink"/>
    <w:basedOn w:val="DefaultParagraphFont"/>
    <w:rsid w:val="00C11CBD"/>
    <w:rPr>
      <w:color w:val="800080" w:themeColor="followedHyperlink"/>
      <w:u w:val="single"/>
    </w:rPr>
  </w:style>
  <w:style w:type="paragraph" w:customStyle="1" w:styleId="Default">
    <w:name w:val="Default"/>
    <w:rsid w:val="00543531"/>
    <w:pPr>
      <w:autoSpaceDE w:val="0"/>
      <w:autoSpaceDN w:val="0"/>
      <w:adjustRightInd w:val="0"/>
    </w:pPr>
    <w:rPr>
      <w:rFonts w:ascii="KGBHCG+TimesNewRoman" w:hAnsi="KGBHCG+TimesNewRoman" w:cs="KGBHCG+TimesNewRoman"/>
      <w:color w:val="000000"/>
      <w:sz w:val="24"/>
      <w:szCs w:val="24"/>
    </w:rPr>
  </w:style>
  <w:style w:type="character" w:customStyle="1" w:styleId="APTechParagraphChar">
    <w:name w:val="APTech Paragraph Char"/>
    <w:basedOn w:val="DefaultParagraphFont"/>
    <w:link w:val="APTechParagraph"/>
    <w:uiPriority w:val="99"/>
    <w:locked/>
    <w:rsid w:val="00543531"/>
    <w:rPr>
      <w:sz w:val="24"/>
      <w:szCs w:val="24"/>
    </w:rPr>
  </w:style>
  <w:style w:type="character" w:styleId="PageNumber">
    <w:name w:val="page number"/>
    <w:basedOn w:val="DefaultParagraphFont"/>
    <w:rsid w:val="00010C84"/>
  </w:style>
  <w:style w:type="paragraph" w:styleId="Revision">
    <w:name w:val="Revision"/>
    <w:hidden/>
    <w:uiPriority w:val="99"/>
    <w:semiHidden/>
    <w:rsid w:val="00B66244"/>
    <w:rPr>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locked="1" w:qFormat="1"/>
    <w:lsdException w:name="heading 1" w:qFormat="1"/>
    <w:lsdException w:name="heading 2" w:qFormat="1"/>
    <w:lsdException w:name="heading 3"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toc 1" w:uiPriority="39"/>
    <w:lsdException w:name="toc 2" w:uiPriority="39"/>
    <w:lsdException w:name="toc 3" w:uiPriority="39"/>
    <w:lsdException w:name="toc 4" w:uiPriority="39"/>
    <w:lsdException w:name="caption" w:locked="1" w:semiHidden="1" w:unhideWhenUsed="1" w:qFormat="1"/>
    <w:lsdException w:name="table of figures" w:uiPriority="99"/>
    <w:lsdException w:name="Hyperlink" w:uiPriority="99"/>
    <w:lsdException w:name="Emphasis" w:uiPriority="20" w:qFormat="1"/>
    <w:lsdException w:name="Normal (Web)" w:uiPriority="99"/>
    <w:lsdException w:name="No List" w:uiPriority="99"/>
    <w:lsdException w:name="Table Grid" w:lock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Intense Emphasis" w:uiPriority="21"/>
    <w:lsdException w:name="Subtle Reference" w:uiPriority="31"/>
    <w:lsdException w:name="Intense Reference" w:uiPriority="32"/>
    <w:lsdException w:name="Bibliography" w:semiHidden="1" w:uiPriority="37" w:unhideWhenUsed="1"/>
    <w:lsdException w:name="TOC Heading" w:semiHidden="1" w:uiPriority="39" w:unhideWhenUsed="1" w:qFormat="1"/>
  </w:latentStyles>
  <w:style w:type="paragraph" w:default="1" w:styleId="Normal">
    <w:name w:val="Normal"/>
    <w:qFormat/>
    <w:rsid w:val="004774B9"/>
    <w:rPr>
      <w:sz w:val="24"/>
    </w:rPr>
  </w:style>
  <w:style w:type="paragraph" w:styleId="Heading1">
    <w:name w:val="heading 1"/>
    <w:basedOn w:val="Normal"/>
    <w:next w:val="Normal"/>
    <w:link w:val="Heading1Char"/>
    <w:qFormat/>
    <w:rsid w:val="004774B9"/>
    <w:pPr>
      <w:keepNext/>
      <w:jc w:val="center"/>
      <w:outlineLvl w:val="0"/>
    </w:pPr>
    <w:rPr>
      <w:rFonts w:ascii="Arial" w:hAnsi="Arial" w:cs="Arial"/>
      <w:b/>
      <w:bCs/>
      <w:caps/>
      <w:kern w:val="32"/>
      <w:sz w:val="28"/>
      <w:szCs w:val="24"/>
    </w:rPr>
  </w:style>
  <w:style w:type="paragraph" w:styleId="Heading2">
    <w:name w:val="heading 2"/>
    <w:basedOn w:val="Normal"/>
    <w:next w:val="Normal"/>
    <w:link w:val="Heading2Char"/>
    <w:qFormat/>
    <w:rsid w:val="004774B9"/>
    <w:pPr>
      <w:keepNext/>
      <w:spacing w:after="120"/>
      <w:outlineLvl w:val="1"/>
    </w:pPr>
    <w:rPr>
      <w:rFonts w:ascii="Arial Bold" w:hAnsi="Arial Bold" w:cs="Arial"/>
      <w:b/>
      <w:bCs/>
      <w:iCs/>
      <w:szCs w:val="24"/>
    </w:rPr>
  </w:style>
  <w:style w:type="paragraph" w:styleId="Heading3">
    <w:name w:val="heading 3"/>
    <w:basedOn w:val="Normal"/>
    <w:next w:val="Normal"/>
    <w:link w:val="Heading3Char"/>
    <w:qFormat/>
    <w:rsid w:val="004774B9"/>
    <w:pPr>
      <w:keepNext/>
      <w:spacing w:after="120"/>
      <w:outlineLvl w:val="2"/>
    </w:pPr>
    <w:rPr>
      <w:rFonts w:ascii="Arial" w:hAnsi="Arial" w:cs="Arial"/>
      <w:u w:val="single"/>
    </w:rPr>
  </w:style>
  <w:style w:type="paragraph" w:styleId="Heading4">
    <w:name w:val="heading 4"/>
    <w:basedOn w:val="Normal"/>
    <w:next w:val="Normal"/>
    <w:link w:val="Heading4Char"/>
    <w:qFormat/>
    <w:locked/>
    <w:rsid w:val="004774B9"/>
    <w:pPr>
      <w:keepNext/>
      <w:spacing w:after="120"/>
      <w:outlineLvl w:val="3"/>
    </w:pPr>
    <w:rPr>
      <w:rFonts w:ascii="Arial" w:eastAsiaTheme="minorEastAsia" w:hAnsi="Arial" w:cstheme="minorBidi"/>
      <w:i/>
    </w:rPr>
  </w:style>
  <w:style w:type="paragraph" w:styleId="Heading5">
    <w:name w:val="heading 5"/>
    <w:basedOn w:val="Normal"/>
    <w:next w:val="Normal"/>
    <w:link w:val="Heading5Char"/>
    <w:qFormat/>
    <w:locked/>
    <w:rsid w:val="004774B9"/>
    <w:pPr>
      <w:keepNext/>
      <w:spacing w:after="120"/>
      <w:ind w:left="288"/>
      <w:outlineLvl w:val="4"/>
    </w:pPr>
    <w:rPr>
      <w:rFonts w:eastAsiaTheme="minorEastAsia" w:cstheme="minorBidi"/>
      <w:b/>
    </w:rPr>
  </w:style>
  <w:style w:type="paragraph" w:styleId="Heading6">
    <w:name w:val="heading 6"/>
    <w:basedOn w:val="Normal"/>
    <w:next w:val="Normal"/>
    <w:link w:val="Heading6Char"/>
    <w:qFormat/>
    <w:locked/>
    <w:rsid w:val="004774B9"/>
    <w:pPr>
      <w:keepNext/>
      <w:ind w:left="288"/>
      <w:outlineLvl w:val="5"/>
    </w:pPr>
    <w:rPr>
      <w:rFonts w:eastAsiaTheme="minorEastAsia" w:cstheme="minorBidi"/>
      <w:u w:val="single"/>
    </w:rPr>
  </w:style>
  <w:style w:type="paragraph" w:styleId="Heading7">
    <w:name w:val="heading 7"/>
    <w:basedOn w:val="Normal"/>
    <w:next w:val="Normal"/>
    <w:link w:val="Heading7Char"/>
    <w:qFormat/>
    <w:locked/>
    <w:rsid w:val="004774B9"/>
    <w:pPr>
      <w:keepNext/>
      <w:spacing w:after="120"/>
      <w:outlineLvl w:val="6"/>
    </w:pPr>
    <w:rPr>
      <w:rFonts w:eastAsiaTheme="minorEastAsia" w:cstheme="minorBidi"/>
      <w:i/>
    </w:rPr>
  </w:style>
  <w:style w:type="paragraph" w:styleId="Heading8">
    <w:name w:val="heading 8"/>
    <w:aliases w:val="Figure Caption"/>
    <w:basedOn w:val="Normal"/>
    <w:next w:val="Normal"/>
    <w:link w:val="Heading8Char"/>
    <w:semiHidden/>
    <w:unhideWhenUsed/>
    <w:qFormat/>
    <w:locked/>
    <w:rsid w:val="004774B9"/>
    <w:pPr>
      <w:keepNext/>
      <w:spacing w:before="240" w:after="240"/>
      <w:jc w:val="center"/>
      <w:outlineLvl w:val="7"/>
    </w:pPr>
    <w:rPr>
      <w:rFonts w:eastAsiaTheme="minorEastAsia" w:cstheme="minorBidi"/>
      <w:iCs/>
      <w:szCs w:val="24"/>
    </w:rPr>
  </w:style>
  <w:style w:type="paragraph" w:styleId="Heading9">
    <w:name w:val="heading 9"/>
    <w:aliases w:val="Table caption"/>
    <w:basedOn w:val="Normal"/>
    <w:next w:val="Normal"/>
    <w:link w:val="Heading9Char"/>
    <w:qFormat/>
    <w:locked/>
    <w:rsid w:val="004774B9"/>
    <w:pPr>
      <w:keepNext/>
      <w:spacing w:before="240" w:after="240"/>
      <w:jc w:val="center"/>
      <w:outlineLvl w:val="8"/>
    </w:pPr>
    <w:rPr>
      <w:rFonts w:eastAsiaTheme="majorEastAsia"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PTechH1">
    <w:name w:val="APTech H1"/>
    <w:rsid w:val="00203853"/>
    <w:pPr>
      <w:spacing w:line="480" w:lineRule="auto"/>
      <w:jc w:val="center"/>
      <w:outlineLvl w:val="0"/>
    </w:pPr>
    <w:rPr>
      <w:rFonts w:ascii="Arial" w:hAnsi="Arial" w:cs="Arial"/>
      <w:b/>
      <w:bCs/>
      <w:caps/>
      <w:kern w:val="32"/>
      <w:sz w:val="28"/>
      <w:szCs w:val="32"/>
    </w:rPr>
  </w:style>
  <w:style w:type="paragraph" w:customStyle="1" w:styleId="APTechH2">
    <w:name w:val="APTech H2"/>
    <w:rsid w:val="00203853"/>
    <w:pPr>
      <w:keepNext/>
      <w:spacing w:after="120"/>
      <w:outlineLvl w:val="1"/>
    </w:pPr>
    <w:rPr>
      <w:rFonts w:ascii="Arial" w:hAnsi="Arial" w:cs="Arial"/>
      <w:b/>
      <w:bCs/>
      <w:kern w:val="32"/>
      <w:sz w:val="24"/>
      <w:szCs w:val="32"/>
    </w:rPr>
  </w:style>
  <w:style w:type="paragraph" w:customStyle="1" w:styleId="APTechH3">
    <w:name w:val="APTech H3"/>
    <w:rsid w:val="00203853"/>
    <w:pPr>
      <w:keepNext/>
      <w:spacing w:after="120"/>
      <w:outlineLvl w:val="2"/>
    </w:pPr>
    <w:rPr>
      <w:rFonts w:ascii="Arial" w:hAnsi="Arial" w:cs="Arial"/>
      <w:bCs/>
      <w:kern w:val="32"/>
      <w:sz w:val="24"/>
      <w:szCs w:val="32"/>
      <w:u w:val="single"/>
    </w:rPr>
  </w:style>
  <w:style w:type="paragraph" w:customStyle="1" w:styleId="APTechH4">
    <w:name w:val="APTech H4"/>
    <w:rsid w:val="00203853"/>
    <w:pPr>
      <w:keepNext/>
      <w:spacing w:after="120"/>
      <w:outlineLvl w:val="3"/>
    </w:pPr>
    <w:rPr>
      <w:rFonts w:ascii="Arial" w:hAnsi="Arial" w:cs="Arial"/>
      <w:bCs/>
      <w:i/>
      <w:kern w:val="32"/>
      <w:sz w:val="24"/>
      <w:szCs w:val="32"/>
    </w:rPr>
  </w:style>
  <w:style w:type="paragraph" w:customStyle="1" w:styleId="APTechH5">
    <w:name w:val="APTech H5"/>
    <w:rsid w:val="00203853"/>
    <w:pPr>
      <w:keepNext/>
      <w:spacing w:after="120"/>
      <w:ind w:left="720"/>
      <w:outlineLvl w:val="4"/>
    </w:pPr>
    <w:rPr>
      <w:rFonts w:cs="Arial"/>
      <w:b/>
      <w:bCs/>
      <w:kern w:val="32"/>
      <w:sz w:val="24"/>
      <w:szCs w:val="32"/>
    </w:rPr>
  </w:style>
  <w:style w:type="paragraph" w:customStyle="1" w:styleId="APTechH6">
    <w:name w:val="APTech H6"/>
    <w:rsid w:val="00203853"/>
    <w:pPr>
      <w:keepNext/>
      <w:spacing w:after="120"/>
      <w:ind w:left="720"/>
      <w:outlineLvl w:val="5"/>
    </w:pPr>
    <w:rPr>
      <w:rFonts w:cs="Arial"/>
      <w:bCs/>
      <w:kern w:val="32"/>
      <w:sz w:val="24"/>
      <w:szCs w:val="32"/>
      <w:u w:val="single"/>
    </w:rPr>
  </w:style>
  <w:style w:type="paragraph" w:customStyle="1" w:styleId="APTechH7">
    <w:name w:val="APTech H7"/>
    <w:rsid w:val="00203853"/>
    <w:pPr>
      <w:keepNext/>
      <w:spacing w:after="120"/>
      <w:ind w:left="720"/>
      <w:outlineLvl w:val="6"/>
    </w:pPr>
    <w:rPr>
      <w:rFonts w:cs="Arial"/>
      <w:bCs/>
      <w:i/>
      <w:kern w:val="32"/>
      <w:sz w:val="24"/>
      <w:szCs w:val="32"/>
    </w:rPr>
  </w:style>
  <w:style w:type="paragraph" w:customStyle="1" w:styleId="APTechParagraph">
    <w:name w:val="APTech Paragraph"/>
    <w:link w:val="APTechParagraphChar"/>
    <w:uiPriority w:val="99"/>
    <w:rsid w:val="0088557A"/>
    <w:rPr>
      <w:sz w:val="24"/>
      <w:szCs w:val="24"/>
    </w:rPr>
  </w:style>
  <w:style w:type="paragraph" w:customStyle="1" w:styleId="APTechBullets">
    <w:name w:val="APTech Bullets"/>
    <w:rsid w:val="008C78AB"/>
    <w:pPr>
      <w:numPr>
        <w:numId w:val="2"/>
      </w:numPr>
      <w:spacing w:after="120"/>
    </w:pPr>
    <w:rPr>
      <w:sz w:val="24"/>
      <w:szCs w:val="24"/>
    </w:rPr>
  </w:style>
  <w:style w:type="paragraph" w:customStyle="1" w:styleId="APTechTableCaption">
    <w:name w:val="APTech Table Caption"/>
    <w:basedOn w:val="Normal"/>
    <w:rsid w:val="00203853"/>
    <w:pPr>
      <w:keepNext/>
      <w:spacing w:after="120"/>
      <w:jc w:val="center"/>
    </w:pPr>
  </w:style>
  <w:style w:type="paragraph" w:customStyle="1" w:styleId="APTechFigureCaption">
    <w:name w:val="APTech Figure Caption"/>
    <w:basedOn w:val="APTechTableCaption"/>
    <w:rsid w:val="004B4E81"/>
    <w:pPr>
      <w:keepNext w:val="0"/>
      <w:spacing w:before="120" w:after="0"/>
    </w:pPr>
  </w:style>
  <w:style w:type="paragraph" w:customStyle="1" w:styleId="APTechNumberlist">
    <w:name w:val="APTech Number list"/>
    <w:basedOn w:val="APTechBullets"/>
    <w:rsid w:val="00203853"/>
    <w:pPr>
      <w:numPr>
        <w:numId w:val="1"/>
      </w:numPr>
    </w:pPr>
  </w:style>
  <w:style w:type="paragraph" w:customStyle="1" w:styleId="APTechReference">
    <w:name w:val="APTech Reference"/>
    <w:basedOn w:val="APTechParagraph"/>
    <w:rsid w:val="00203853"/>
  </w:style>
  <w:style w:type="paragraph" w:styleId="Header">
    <w:name w:val="header"/>
    <w:basedOn w:val="Normal"/>
    <w:link w:val="HeaderChar"/>
    <w:rsid w:val="00203853"/>
    <w:pPr>
      <w:tabs>
        <w:tab w:val="center" w:pos="4320"/>
        <w:tab w:val="right" w:pos="8640"/>
      </w:tabs>
    </w:pPr>
  </w:style>
  <w:style w:type="paragraph" w:styleId="Footer">
    <w:name w:val="footer"/>
    <w:basedOn w:val="Normal"/>
    <w:link w:val="FooterChar"/>
    <w:rsid w:val="00203853"/>
    <w:pPr>
      <w:tabs>
        <w:tab w:val="center" w:pos="4320"/>
        <w:tab w:val="right" w:pos="8640"/>
      </w:tabs>
    </w:pPr>
  </w:style>
  <w:style w:type="paragraph" w:customStyle="1" w:styleId="APTechBullets1">
    <w:name w:val="APTech Bullets1"/>
    <w:next w:val="APTechBullets"/>
    <w:rsid w:val="003B6B18"/>
    <w:pPr>
      <w:tabs>
        <w:tab w:val="num" w:pos="720"/>
      </w:tabs>
      <w:ind w:left="720" w:hanging="360"/>
    </w:pPr>
    <w:rPr>
      <w:sz w:val="24"/>
      <w:szCs w:val="24"/>
    </w:rPr>
  </w:style>
  <w:style w:type="paragraph" w:styleId="ListParagraph">
    <w:name w:val="List Paragraph"/>
    <w:basedOn w:val="Normal"/>
    <w:qFormat/>
    <w:rsid w:val="00465FE6"/>
    <w:pPr>
      <w:ind w:left="720"/>
      <w:contextualSpacing/>
    </w:pPr>
  </w:style>
  <w:style w:type="character" w:styleId="Emphasis">
    <w:name w:val="Emphasis"/>
    <w:basedOn w:val="DefaultParagraphFont"/>
    <w:uiPriority w:val="20"/>
    <w:qFormat/>
    <w:rsid w:val="00465FE6"/>
    <w:rPr>
      <w:rFonts w:cs="Times New Roman"/>
      <w:i/>
      <w:iCs/>
    </w:rPr>
  </w:style>
  <w:style w:type="character" w:styleId="SubtleEmphasis">
    <w:name w:val="Subtle Emphasis"/>
    <w:basedOn w:val="DefaultParagraphFont"/>
    <w:rsid w:val="00465FE6"/>
    <w:rPr>
      <w:rFonts w:cs="Times New Roman"/>
      <w:i/>
      <w:iCs/>
      <w:color w:val="808080"/>
    </w:rPr>
  </w:style>
  <w:style w:type="character" w:styleId="BookTitle">
    <w:name w:val="Book Title"/>
    <w:basedOn w:val="DefaultParagraphFont"/>
    <w:rsid w:val="00465FE6"/>
    <w:rPr>
      <w:rFonts w:cs="Times New Roman"/>
      <w:b/>
      <w:bCs/>
      <w:smallCaps/>
      <w:spacing w:val="5"/>
    </w:rPr>
  </w:style>
  <w:style w:type="character" w:styleId="PlaceholderText">
    <w:name w:val="Placeholder Text"/>
    <w:basedOn w:val="DefaultParagraphFont"/>
    <w:semiHidden/>
    <w:rsid w:val="007929D2"/>
    <w:rPr>
      <w:rFonts w:cs="Times New Roman"/>
      <w:color w:val="808080"/>
    </w:rPr>
  </w:style>
  <w:style w:type="paragraph" w:styleId="BalloonText">
    <w:name w:val="Balloon Text"/>
    <w:basedOn w:val="Normal"/>
    <w:link w:val="BalloonTextChar"/>
    <w:rsid w:val="007929D2"/>
    <w:rPr>
      <w:rFonts w:ascii="Tahoma" w:hAnsi="Tahoma" w:cs="Tahoma"/>
      <w:sz w:val="16"/>
      <w:szCs w:val="16"/>
    </w:rPr>
  </w:style>
  <w:style w:type="character" w:customStyle="1" w:styleId="BalloonTextChar">
    <w:name w:val="Balloon Text Char"/>
    <w:basedOn w:val="DefaultParagraphFont"/>
    <w:link w:val="BalloonText"/>
    <w:locked/>
    <w:rsid w:val="007929D2"/>
    <w:rPr>
      <w:rFonts w:ascii="Tahoma" w:hAnsi="Tahoma" w:cs="Tahoma"/>
      <w:sz w:val="16"/>
      <w:szCs w:val="16"/>
    </w:rPr>
  </w:style>
  <w:style w:type="table" w:styleId="TableGrid">
    <w:name w:val="Table Grid"/>
    <w:basedOn w:val="TableNormal"/>
    <w:rsid w:val="00B7018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CommentReference">
    <w:name w:val="annotation reference"/>
    <w:basedOn w:val="DefaultParagraphFont"/>
    <w:rsid w:val="00327517"/>
    <w:rPr>
      <w:rFonts w:cs="Times New Roman"/>
      <w:sz w:val="16"/>
      <w:szCs w:val="16"/>
    </w:rPr>
  </w:style>
  <w:style w:type="paragraph" w:styleId="CommentText">
    <w:name w:val="annotation text"/>
    <w:basedOn w:val="Normal"/>
    <w:link w:val="CommentTextChar"/>
    <w:rsid w:val="00327517"/>
    <w:rPr>
      <w:sz w:val="20"/>
    </w:rPr>
  </w:style>
  <w:style w:type="character" w:customStyle="1" w:styleId="CommentTextChar">
    <w:name w:val="Comment Text Char"/>
    <w:basedOn w:val="DefaultParagraphFont"/>
    <w:link w:val="CommentText"/>
    <w:locked/>
    <w:rsid w:val="00327517"/>
    <w:rPr>
      <w:rFonts w:cs="Times New Roman"/>
    </w:rPr>
  </w:style>
  <w:style w:type="paragraph" w:styleId="CommentSubject">
    <w:name w:val="annotation subject"/>
    <w:basedOn w:val="CommentText"/>
    <w:next w:val="CommentText"/>
    <w:link w:val="CommentSubjectChar"/>
    <w:rsid w:val="00327517"/>
    <w:rPr>
      <w:b/>
      <w:bCs/>
    </w:rPr>
  </w:style>
  <w:style w:type="character" w:customStyle="1" w:styleId="CommentSubjectChar">
    <w:name w:val="Comment Subject Char"/>
    <w:basedOn w:val="CommentTextChar"/>
    <w:link w:val="CommentSubject"/>
    <w:locked/>
    <w:rsid w:val="00327517"/>
    <w:rPr>
      <w:rFonts w:cs="Times New Roman"/>
      <w:b/>
      <w:bCs/>
    </w:rPr>
  </w:style>
  <w:style w:type="paragraph" w:styleId="FootnoteText">
    <w:name w:val="footnote text"/>
    <w:basedOn w:val="Normal"/>
    <w:link w:val="FootnoteTextChar"/>
    <w:rsid w:val="00BD77A5"/>
    <w:rPr>
      <w:sz w:val="20"/>
    </w:rPr>
  </w:style>
  <w:style w:type="character" w:customStyle="1" w:styleId="FootnoteTextChar">
    <w:name w:val="Footnote Text Char"/>
    <w:basedOn w:val="DefaultParagraphFont"/>
    <w:link w:val="FootnoteText"/>
    <w:locked/>
    <w:rsid w:val="00BD77A5"/>
    <w:rPr>
      <w:rFonts w:cs="Times New Roman"/>
    </w:rPr>
  </w:style>
  <w:style w:type="character" w:styleId="FootnoteReference">
    <w:name w:val="footnote reference"/>
    <w:basedOn w:val="DefaultParagraphFont"/>
    <w:rsid w:val="00BD77A5"/>
    <w:rPr>
      <w:rFonts w:cs="Times New Roman"/>
      <w:vertAlign w:val="superscript"/>
    </w:rPr>
  </w:style>
  <w:style w:type="character" w:customStyle="1" w:styleId="A8">
    <w:name w:val="A8"/>
    <w:rsid w:val="0002287E"/>
    <w:rPr>
      <w:color w:val="221E1F"/>
      <w:sz w:val="20"/>
    </w:rPr>
  </w:style>
  <w:style w:type="character" w:customStyle="1" w:styleId="A5">
    <w:name w:val="A5"/>
    <w:rsid w:val="0002287E"/>
    <w:rPr>
      <w:color w:val="221E1F"/>
      <w:sz w:val="26"/>
    </w:rPr>
  </w:style>
  <w:style w:type="character" w:customStyle="1" w:styleId="A6">
    <w:name w:val="A6"/>
    <w:rsid w:val="0002287E"/>
    <w:rPr>
      <w:color w:val="221E1F"/>
      <w:sz w:val="15"/>
    </w:rPr>
  </w:style>
  <w:style w:type="character" w:styleId="Hyperlink">
    <w:name w:val="Hyperlink"/>
    <w:basedOn w:val="DefaultParagraphFont"/>
    <w:uiPriority w:val="99"/>
    <w:rsid w:val="006B2E6C"/>
    <w:rPr>
      <w:rFonts w:cs="Times New Roman"/>
      <w:color w:val="0000FF"/>
      <w:u w:val="single"/>
    </w:rPr>
  </w:style>
  <w:style w:type="paragraph" w:styleId="TOC2">
    <w:name w:val="toc 2"/>
    <w:basedOn w:val="Normal"/>
    <w:next w:val="Normal"/>
    <w:uiPriority w:val="39"/>
    <w:unhideWhenUsed/>
    <w:rsid w:val="004B4E81"/>
    <w:pPr>
      <w:tabs>
        <w:tab w:val="right" w:leader="dot" w:pos="9350"/>
      </w:tabs>
      <w:spacing w:after="120"/>
    </w:pPr>
    <w:rPr>
      <w:rFonts w:ascii="Arial" w:hAnsi="Arial" w:cs="Arial"/>
      <w:b/>
      <w:noProof/>
      <w:szCs w:val="22"/>
    </w:rPr>
  </w:style>
  <w:style w:type="paragraph" w:styleId="TableofFigures">
    <w:name w:val="table of figures"/>
    <w:basedOn w:val="Normal"/>
    <w:next w:val="Normal"/>
    <w:uiPriority w:val="99"/>
    <w:rsid w:val="00807111"/>
  </w:style>
  <w:style w:type="paragraph" w:styleId="TOC1">
    <w:name w:val="toc 1"/>
    <w:basedOn w:val="Normal"/>
    <w:next w:val="Normal"/>
    <w:autoRedefine/>
    <w:uiPriority w:val="39"/>
    <w:unhideWhenUsed/>
    <w:rsid w:val="00807111"/>
    <w:pPr>
      <w:spacing w:after="100"/>
    </w:pPr>
  </w:style>
  <w:style w:type="paragraph" w:styleId="TOC3">
    <w:name w:val="toc 3"/>
    <w:basedOn w:val="Normal"/>
    <w:next w:val="Normal"/>
    <w:uiPriority w:val="39"/>
    <w:unhideWhenUsed/>
    <w:rsid w:val="004B4E81"/>
    <w:pPr>
      <w:tabs>
        <w:tab w:val="right" w:leader="dot" w:pos="9350"/>
      </w:tabs>
      <w:spacing w:after="100"/>
      <w:ind w:left="360"/>
    </w:pPr>
    <w:rPr>
      <w:rFonts w:ascii="Arial" w:hAnsi="Arial"/>
      <w:u w:val="single"/>
    </w:rPr>
  </w:style>
  <w:style w:type="character" w:customStyle="1" w:styleId="FooterChar">
    <w:name w:val="Footer Char"/>
    <w:basedOn w:val="DefaultParagraphFont"/>
    <w:link w:val="Footer"/>
    <w:rsid w:val="00807111"/>
    <w:rPr>
      <w:sz w:val="24"/>
      <w:szCs w:val="24"/>
    </w:rPr>
  </w:style>
  <w:style w:type="character" w:customStyle="1" w:styleId="Heading1Char">
    <w:name w:val="Heading 1 Char"/>
    <w:basedOn w:val="DefaultParagraphFont"/>
    <w:link w:val="Heading1"/>
    <w:rsid w:val="004774B9"/>
    <w:rPr>
      <w:rFonts w:ascii="Arial" w:hAnsi="Arial" w:cs="Arial"/>
      <w:b/>
      <w:bCs/>
      <w:caps/>
      <w:kern w:val="32"/>
      <w:sz w:val="28"/>
      <w:szCs w:val="24"/>
    </w:rPr>
  </w:style>
  <w:style w:type="character" w:customStyle="1" w:styleId="Heading2Char">
    <w:name w:val="Heading 2 Char"/>
    <w:basedOn w:val="DefaultParagraphFont"/>
    <w:link w:val="Heading2"/>
    <w:rsid w:val="004774B9"/>
    <w:rPr>
      <w:rFonts w:ascii="Arial Bold" w:hAnsi="Arial Bold" w:cs="Arial"/>
      <w:b/>
      <w:bCs/>
      <w:iCs/>
      <w:sz w:val="24"/>
      <w:szCs w:val="24"/>
    </w:rPr>
  </w:style>
  <w:style w:type="character" w:customStyle="1" w:styleId="Heading3Char">
    <w:name w:val="Heading 3 Char"/>
    <w:basedOn w:val="DefaultParagraphFont"/>
    <w:link w:val="Heading3"/>
    <w:rsid w:val="004774B9"/>
    <w:rPr>
      <w:rFonts w:ascii="Arial" w:hAnsi="Arial" w:cs="Arial"/>
      <w:sz w:val="24"/>
      <w:u w:val="single"/>
    </w:rPr>
  </w:style>
  <w:style w:type="character" w:customStyle="1" w:styleId="Heading4Char">
    <w:name w:val="Heading 4 Char"/>
    <w:basedOn w:val="DefaultParagraphFont"/>
    <w:link w:val="Heading4"/>
    <w:rsid w:val="004774B9"/>
    <w:rPr>
      <w:rFonts w:ascii="Arial" w:eastAsiaTheme="minorEastAsia" w:hAnsi="Arial" w:cstheme="minorBidi"/>
      <w:i/>
      <w:sz w:val="24"/>
    </w:rPr>
  </w:style>
  <w:style w:type="character" w:customStyle="1" w:styleId="Heading5Char">
    <w:name w:val="Heading 5 Char"/>
    <w:basedOn w:val="DefaultParagraphFont"/>
    <w:link w:val="Heading5"/>
    <w:rsid w:val="004774B9"/>
    <w:rPr>
      <w:rFonts w:eastAsiaTheme="minorEastAsia" w:cstheme="minorBidi"/>
      <w:b/>
      <w:sz w:val="24"/>
    </w:rPr>
  </w:style>
  <w:style w:type="character" w:customStyle="1" w:styleId="Heading6Char">
    <w:name w:val="Heading 6 Char"/>
    <w:basedOn w:val="DefaultParagraphFont"/>
    <w:link w:val="Heading6"/>
    <w:rsid w:val="004774B9"/>
    <w:rPr>
      <w:rFonts w:eastAsiaTheme="minorEastAsia" w:cstheme="minorBidi"/>
      <w:sz w:val="24"/>
      <w:u w:val="single"/>
    </w:rPr>
  </w:style>
  <w:style w:type="character" w:customStyle="1" w:styleId="Heading7Char">
    <w:name w:val="Heading 7 Char"/>
    <w:basedOn w:val="DefaultParagraphFont"/>
    <w:link w:val="Heading7"/>
    <w:rsid w:val="004774B9"/>
    <w:rPr>
      <w:rFonts w:eastAsiaTheme="minorEastAsia" w:cstheme="minorBidi"/>
      <w:i/>
      <w:sz w:val="24"/>
    </w:rPr>
  </w:style>
  <w:style w:type="character" w:customStyle="1" w:styleId="Heading8Char">
    <w:name w:val="Heading 8 Char"/>
    <w:aliases w:val="Figure Caption Char"/>
    <w:basedOn w:val="DefaultParagraphFont"/>
    <w:link w:val="Heading8"/>
    <w:rsid w:val="004774B9"/>
    <w:rPr>
      <w:rFonts w:eastAsiaTheme="minorEastAsia" w:cstheme="minorBidi"/>
      <w:iCs/>
      <w:sz w:val="24"/>
      <w:szCs w:val="24"/>
    </w:rPr>
  </w:style>
  <w:style w:type="character" w:customStyle="1" w:styleId="Heading9Char">
    <w:name w:val="Heading 9 Char"/>
    <w:aliases w:val="Table caption Char"/>
    <w:basedOn w:val="DefaultParagraphFont"/>
    <w:link w:val="Heading9"/>
    <w:rsid w:val="004774B9"/>
    <w:rPr>
      <w:rFonts w:eastAsiaTheme="majorEastAsia" w:cs="Arial"/>
      <w:sz w:val="24"/>
      <w:szCs w:val="22"/>
    </w:rPr>
  </w:style>
  <w:style w:type="paragraph" w:styleId="Quote">
    <w:name w:val="Quote"/>
    <w:basedOn w:val="Normal"/>
    <w:next w:val="Normal"/>
    <w:link w:val="QuoteChar"/>
    <w:uiPriority w:val="29"/>
    <w:qFormat/>
    <w:rsid w:val="004774B9"/>
    <w:rPr>
      <w:i/>
      <w:iCs/>
      <w:color w:val="000000" w:themeColor="text1"/>
    </w:rPr>
  </w:style>
  <w:style w:type="character" w:customStyle="1" w:styleId="QuoteChar">
    <w:name w:val="Quote Char"/>
    <w:basedOn w:val="DefaultParagraphFont"/>
    <w:link w:val="Quote"/>
    <w:uiPriority w:val="29"/>
    <w:rsid w:val="004774B9"/>
    <w:rPr>
      <w:i/>
      <w:iCs/>
      <w:color w:val="000000" w:themeColor="text1"/>
      <w:sz w:val="24"/>
    </w:rPr>
  </w:style>
  <w:style w:type="paragraph" w:styleId="TOCHeading">
    <w:name w:val="TOC Heading"/>
    <w:basedOn w:val="Heading1"/>
    <w:next w:val="Normal"/>
    <w:uiPriority w:val="39"/>
    <w:semiHidden/>
    <w:unhideWhenUsed/>
    <w:qFormat/>
    <w:rsid w:val="004774B9"/>
    <w:pPr>
      <w:spacing w:before="240" w:after="60"/>
      <w:outlineLvl w:val="9"/>
    </w:pPr>
    <w:rPr>
      <w:rFonts w:asciiTheme="majorHAnsi" w:eastAsiaTheme="majorEastAsia" w:hAnsiTheme="majorHAnsi" w:cstheme="majorBidi"/>
      <w:sz w:val="32"/>
      <w:szCs w:val="32"/>
    </w:rPr>
  </w:style>
  <w:style w:type="paragraph" w:styleId="Caption">
    <w:name w:val="caption"/>
    <w:basedOn w:val="Normal"/>
    <w:next w:val="Normal"/>
    <w:link w:val="CaptionChar"/>
    <w:unhideWhenUsed/>
    <w:qFormat/>
    <w:locked/>
    <w:rsid w:val="006F33A8"/>
    <w:pPr>
      <w:spacing w:before="240" w:after="240"/>
      <w:jc w:val="center"/>
    </w:pPr>
    <w:rPr>
      <w:bCs/>
      <w:szCs w:val="18"/>
    </w:rPr>
  </w:style>
  <w:style w:type="paragraph" w:styleId="DocumentMap">
    <w:name w:val="Document Map"/>
    <w:basedOn w:val="Normal"/>
    <w:link w:val="DocumentMapChar"/>
    <w:rsid w:val="00F95198"/>
    <w:rPr>
      <w:rFonts w:ascii="Tahoma" w:hAnsi="Tahoma" w:cs="Tahoma"/>
      <w:sz w:val="16"/>
      <w:szCs w:val="16"/>
    </w:rPr>
  </w:style>
  <w:style w:type="character" w:customStyle="1" w:styleId="DocumentMapChar">
    <w:name w:val="Document Map Char"/>
    <w:basedOn w:val="DefaultParagraphFont"/>
    <w:link w:val="DocumentMap"/>
    <w:rsid w:val="00F95198"/>
    <w:rPr>
      <w:rFonts w:ascii="Tahoma" w:hAnsi="Tahoma" w:cs="Tahoma"/>
      <w:sz w:val="16"/>
      <w:szCs w:val="16"/>
    </w:rPr>
  </w:style>
  <w:style w:type="character" w:customStyle="1" w:styleId="HeaderChar">
    <w:name w:val="Header Char"/>
    <w:basedOn w:val="DefaultParagraphFont"/>
    <w:link w:val="Header"/>
    <w:rsid w:val="004774B9"/>
    <w:rPr>
      <w:sz w:val="24"/>
    </w:rPr>
  </w:style>
  <w:style w:type="character" w:customStyle="1" w:styleId="body">
    <w:name w:val="body"/>
    <w:basedOn w:val="DefaultParagraphFont"/>
    <w:rsid w:val="004774B9"/>
    <w:rPr>
      <w:rFonts w:cs="Times New Roman"/>
    </w:rPr>
  </w:style>
  <w:style w:type="paragraph" w:styleId="BodyText">
    <w:name w:val="Body Text"/>
    <w:basedOn w:val="Normal"/>
    <w:link w:val="BodyTextChar"/>
    <w:rsid w:val="004774B9"/>
  </w:style>
  <w:style w:type="character" w:customStyle="1" w:styleId="BodyTextChar">
    <w:name w:val="Body Text Char"/>
    <w:basedOn w:val="DefaultParagraphFont"/>
    <w:link w:val="BodyText"/>
    <w:rsid w:val="004774B9"/>
    <w:rPr>
      <w:sz w:val="24"/>
    </w:rPr>
  </w:style>
  <w:style w:type="paragraph" w:styleId="BodyTextIndent">
    <w:name w:val="Body Text Indent"/>
    <w:basedOn w:val="Normal"/>
    <w:link w:val="BodyTextIndentChar"/>
    <w:rsid w:val="004774B9"/>
    <w:pPr>
      <w:spacing w:after="120"/>
      <w:ind w:left="360"/>
    </w:pPr>
    <w:rPr>
      <w:szCs w:val="24"/>
    </w:rPr>
  </w:style>
  <w:style w:type="character" w:customStyle="1" w:styleId="BodyTextIndentChar">
    <w:name w:val="Body Text Indent Char"/>
    <w:basedOn w:val="DefaultParagraphFont"/>
    <w:link w:val="BodyTextIndent"/>
    <w:rsid w:val="004774B9"/>
    <w:rPr>
      <w:sz w:val="24"/>
      <w:szCs w:val="24"/>
    </w:rPr>
  </w:style>
  <w:style w:type="paragraph" w:customStyle="1" w:styleId="Table">
    <w:name w:val="Table"/>
    <w:basedOn w:val="Caption"/>
    <w:rsid w:val="004774B9"/>
    <w:pPr>
      <w:spacing w:after="0"/>
    </w:pPr>
    <w:rPr>
      <w:b/>
      <w:bCs w:val="0"/>
      <w:szCs w:val="20"/>
    </w:rPr>
  </w:style>
  <w:style w:type="paragraph" w:customStyle="1" w:styleId="Caption2">
    <w:name w:val="Caption2"/>
    <w:basedOn w:val="TableofFigures"/>
    <w:rsid w:val="004774B9"/>
    <w:pPr>
      <w:tabs>
        <w:tab w:val="right" w:leader="dot" w:pos="9350"/>
      </w:tabs>
      <w:ind w:left="475" w:hanging="475"/>
      <w:jc w:val="center"/>
    </w:pPr>
    <w:rPr>
      <w:noProof/>
    </w:rPr>
  </w:style>
  <w:style w:type="paragraph" w:styleId="TOC4">
    <w:name w:val="toc 4"/>
    <w:basedOn w:val="Normal"/>
    <w:next w:val="Normal"/>
    <w:uiPriority w:val="39"/>
    <w:rsid w:val="004B4E81"/>
    <w:pPr>
      <w:spacing w:after="100"/>
      <w:ind w:left="720"/>
    </w:pPr>
    <w:rPr>
      <w:rFonts w:ascii="Arial" w:hAnsi="Arial"/>
      <w:i/>
    </w:rPr>
  </w:style>
  <w:style w:type="paragraph" w:styleId="NormalWeb">
    <w:name w:val="Normal (Web)"/>
    <w:basedOn w:val="Normal"/>
    <w:uiPriority w:val="99"/>
    <w:unhideWhenUsed/>
    <w:rsid w:val="00270505"/>
    <w:pPr>
      <w:spacing w:before="96" w:after="120" w:line="360" w:lineRule="atLeast"/>
    </w:pPr>
    <w:rPr>
      <w:szCs w:val="24"/>
    </w:rPr>
  </w:style>
  <w:style w:type="character" w:customStyle="1" w:styleId="CaptionChar">
    <w:name w:val="Caption Char"/>
    <w:basedOn w:val="DefaultParagraphFont"/>
    <w:link w:val="Caption"/>
    <w:uiPriority w:val="99"/>
    <w:locked/>
    <w:rsid w:val="00FB5FFA"/>
    <w:rPr>
      <w:bCs/>
      <w:sz w:val="24"/>
      <w:szCs w:val="18"/>
    </w:rPr>
  </w:style>
  <w:style w:type="character" w:styleId="FollowedHyperlink">
    <w:name w:val="FollowedHyperlink"/>
    <w:basedOn w:val="DefaultParagraphFont"/>
    <w:rsid w:val="00C11CBD"/>
    <w:rPr>
      <w:color w:val="800080" w:themeColor="followedHyperlink"/>
      <w:u w:val="single"/>
    </w:rPr>
  </w:style>
  <w:style w:type="paragraph" w:customStyle="1" w:styleId="Default">
    <w:name w:val="Default"/>
    <w:rsid w:val="00543531"/>
    <w:pPr>
      <w:autoSpaceDE w:val="0"/>
      <w:autoSpaceDN w:val="0"/>
      <w:adjustRightInd w:val="0"/>
    </w:pPr>
    <w:rPr>
      <w:rFonts w:ascii="KGBHCG+TimesNewRoman" w:hAnsi="KGBHCG+TimesNewRoman" w:cs="KGBHCG+TimesNewRoman"/>
      <w:color w:val="000000"/>
      <w:sz w:val="24"/>
      <w:szCs w:val="24"/>
    </w:rPr>
  </w:style>
  <w:style w:type="character" w:customStyle="1" w:styleId="APTechParagraphChar">
    <w:name w:val="APTech Paragraph Char"/>
    <w:basedOn w:val="DefaultParagraphFont"/>
    <w:link w:val="APTechParagraph"/>
    <w:uiPriority w:val="99"/>
    <w:locked/>
    <w:rsid w:val="00543531"/>
    <w:rPr>
      <w:sz w:val="24"/>
      <w:szCs w:val="24"/>
    </w:rPr>
  </w:style>
  <w:style w:type="character" w:styleId="PageNumber">
    <w:name w:val="page number"/>
    <w:basedOn w:val="DefaultParagraphFont"/>
    <w:rsid w:val="00010C84"/>
  </w:style>
  <w:style w:type="paragraph" w:styleId="Revision">
    <w:name w:val="Revision"/>
    <w:hidden/>
    <w:uiPriority w:val="99"/>
    <w:semiHidden/>
    <w:rsid w:val="00B66244"/>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sChild>
        <w:div w:id="2">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0"/>
              <w:marBottom w:val="0"/>
              <w:divBdr>
                <w:top w:val="none" w:sz="0" w:space="0" w:color="auto"/>
                <w:left w:val="none" w:sz="0" w:space="0" w:color="auto"/>
                <w:bottom w:val="none" w:sz="0" w:space="0" w:color="auto"/>
                <w:right w:val="none" w:sz="0" w:space="0" w:color="auto"/>
              </w:divBdr>
              <w:divsChild>
                <w:div w:id="3">
                  <w:marLeft w:val="0"/>
                  <w:marRight w:val="0"/>
                  <w:marTop w:val="0"/>
                  <w:marBottom w:val="0"/>
                  <w:divBdr>
                    <w:top w:val="none" w:sz="0" w:space="0" w:color="auto"/>
                    <w:left w:val="none" w:sz="0" w:space="0" w:color="auto"/>
                    <w:bottom w:val="none" w:sz="0" w:space="0" w:color="auto"/>
                    <w:right w:val="none" w:sz="0" w:space="0" w:color="auto"/>
                  </w:divBdr>
                  <w:divsChild>
                    <w:div w:id="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29670">
      <w:bodyDiv w:val="1"/>
      <w:marLeft w:val="0"/>
      <w:marRight w:val="0"/>
      <w:marTop w:val="0"/>
      <w:marBottom w:val="0"/>
      <w:divBdr>
        <w:top w:val="none" w:sz="0" w:space="0" w:color="auto"/>
        <w:left w:val="none" w:sz="0" w:space="0" w:color="auto"/>
        <w:bottom w:val="none" w:sz="0" w:space="0" w:color="auto"/>
        <w:right w:val="none" w:sz="0" w:space="0" w:color="auto"/>
      </w:divBdr>
    </w:div>
    <w:div w:id="125389445">
      <w:bodyDiv w:val="1"/>
      <w:marLeft w:val="0"/>
      <w:marRight w:val="0"/>
      <w:marTop w:val="0"/>
      <w:marBottom w:val="0"/>
      <w:divBdr>
        <w:top w:val="none" w:sz="0" w:space="0" w:color="auto"/>
        <w:left w:val="none" w:sz="0" w:space="0" w:color="auto"/>
        <w:bottom w:val="none" w:sz="0" w:space="0" w:color="auto"/>
        <w:right w:val="none" w:sz="0" w:space="0" w:color="auto"/>
      </w:divBdr>
    </w:div>
    <w:div w:id="188034893">
      <w:bodyDiv w:val="1"/>
      <w:marLeft w:val="0"/>
      <w:marRight w:val="0"/>
      <w:marTop w:val="0"/>
      <w:marBottom w:val="0"/>
      <w:divBdr>
        <w:top w:val="none" w:sz="0" w:space="0" w:color="auto"/>
        <w:left w:val="none" w:sz="0" w:space="0" w:color="auto"/>
        <w:bottom w:val="none" w:sz="0" w:space="0" w:color="auto"/>
        <w:right w:val="none" w:sz="0" w:space="0" w:color="auto"/>
      </w:divBdr>
    </w:div>
    <w:div w:id="210266231">
      <w:bodyDiv w:val="1"/>
      <w:marLeft w:val="0"/>
      <w:marRight w:val="0"/>
      <w:marTop w:val="0"/>
      <w:marBottom w:val="0"/>
      <w:divBdr>
        <w:top w:val="none" w:sz="0" w:space="0" w:color="auto"/>
        <w:left w:val="none" w:sz="0" w:space="0" w:color="auto"/>
        <w:bottom w:val="none" w:sz="0" w:space="0" w:color="auto"/>
        <w:right w:val="none" w:sz="0" w:space="0" w:color="auto"/>
      </w:divBdr>
    </w:div>
    <w:div w:id="264843766">
      <w:bodyDiv w:val="1"/>
      <w:marLeft w:val="0"/>
      <w:marRight w:val="0"/>
      <w:marTop w:val="0"/>
      <w:marBottom w:val="0"/>
      <w:divBdr>
        <w:top w:val="none" w:sz="0" w:space="0" w:color="auto"/>
        <w:left w:val="none" w:sz="0" w:space="0" w:color="auto"/>
        <w:bottom w:val="none" w:sz="0" w:space="0" w:color="auto"/>
        <w:right w:val="none" w:sz="0" w:space="0" w:color="auto"/>
      </w:divBdr>
    </w:div>
    <w:div w:id="633633623">
      <w:bodyDiv w:val="1"/>
      <w:marLeft w:val="0"/>
      <w:marRight w:val="0"/>
      <w:marTop w:val="0"/>
      <w:marBottom w:val="0"/>
      <w:divBdr>
        <w:top w:val="none" w:sz="0" w:space="0" w:color="auto"/>
        <w:left w:val="none" w:sz="0" w:space="0" w:color="auto"/>
        <w:bottom w:val="none" w:sz="0" w:space="0" w:color="auto"/>
        <w:right w:val="none" w:sz="0" w:space="0" w:color="auto"/>
      </w:divBdr>
    </w:div>
    <w:div w:id="735932604">
      <w:bodyDiv w:val="1"/>
      <w:marLeft w:val="0"/>
      <w:marRight w:val="0"/>
      <w:marTop w:val="0"/>
      <w:marBottom w:val="0"/>
      <w:divBdr>
        <w:top w:val="none" w:sz="0" w:space="0" w:color="auto"/>
        <w:left w:val="none" w:sz="0" w:space="0" w:color="auto"/>
        <w:bottom w:val="none" w:sz="0" w:space="0" w:color="auto"/>
        <w:right w:val="none" w:sz="0" w:space="0" w:color="auto"/>
      </w:divBdr>
    </w:div>
    <w:div w:id="750272583">
      <w:bodyDiv w:val="1"/>
      <w:marLeft w:val="0"/>
      <w:marRight w:val="0"/>
      <w:marTop w:val="0"/>
      <w:marBottom w:val="0"/>
      <w:divBdr>
        <w:top w:val="none" w:sz="0" w:space="0" w:color="auto"/>
        <w:left w:val="none" w:sz="0" w:space="0" w:color="auto"/>
        <w:bottom w:val="none" w:sz="0" w:space="0" w:color="auto"/>
        <w:right w:val="none" w:sz="0" w:space="0" w:color="auto"/>
      </w:divBdr>
    </w:div>
    <w:div w:id="1333723623">
      <w:bodyDiv w:val="1"/>
      <w:marLeft w:val="0"/>
      <w:marRight w:val="0"/>
      <w:marTop w:val="0"/>
      <w:marBottom w:val="0"/>
      <w:divBdr>
        <w:top w:val="none" w:sz="0" w:space="0" w:color="auto"/>
        <w:left w:val="none" w:sz="0" w:space="0" w:color="auto"/>
        <w:bottom w:val="none" w:sz="0" w:space="0" w:color="auto"/>
        <w:right w:val="none" w:sz="0" w:space="0" w:color="auto"/>
      </w:divBdr>
    </w:div>
    <w:div w:id="1560238949">
      <w:bodyDiv w:val="1"/>
      <w:marLeft w:val="0"/>
      <w:marRight w:val="0"/>
      <w:marTop w:val="0"/>
      <w:marBottom w:val="0"/>
      <w:divBdr>
        <w:top w:val="none" w:sz="0" w:space="0" w:color="auto"/>
        <w:left w:val="none" w:sz="0" w:space="0" w:color="auto"/>
        <w:bottom w:val="none" w:sz="0" w:space="0" w:color="auto"/>
        <w:right w:val="none" w:sz="0" w:space="0" w:color="auto"/>
      </w:divBdr>
    </w:div>
    <w:div w:id="1597011972">
      <w:bodyDiv w:val="1"/>
      <w:marLeft w:val="0"/>
      <w:marRight w:val="0"/>
      <w:marTop w:val="0"/>
      <w:marBottom w:val="0"/>
      <w:divBdr>
        <w:top w:val="none" w:sz="0" w:space="0" w:color="auto"/>
        <w:left w:val="none" w:sz="0" w:space="0" w:color="auto"/>
        <w:bottom w:val="none" w:sz="0" w:space="0" w:color="auto"/>
        <w:right w:val="none" w:sz="0" w:space="0" w:color="auto"/>
      </w:divBdr>
      <w:divsChild>
        <w:div w:id="973563206">
          <w:marLeft w:val="0"/>
          <w:marRight w:val="0"/>
          <w:marTop w:val="0"/>
          <w:marBottom w:val="0"/>
          <w:divBdr>
            <w:top w:val="none" w:sz="0" w:space="0" w:color="auto"/>
            <w:left w:val="none" w:sz="0" w:space="0" w:color="auto"/>
            <w:bottom w:val="none" w:sz="0" w:space="0" w:color="auto"/>
            <w:right w:val="none" w:sz="0" w:space="0" w:color="auto"/>
          </w:divBdr>
          <w:divsChild>
            <w:div w:id="1252617445">
              <w:marLeft w:val="-2928"/>
              <w:marRight w:val="0"/>
              <w:marTop w:val="0"/>
              <w:marBottom w:val="144"/>
              <w:divBdr>
                <w:top w:val="none" w:sz="0" w:space="0" w:color="auto"/>
                <w:left w:val="none" w:sz="0" w:space="0" w:color="auto"/>
                <w:bottom w:val="none" w:sz="0" w:space="0" w:color="auto"/>
                <w:right w:val="none" w:sz="0" w:space="0" w:color="auto"/>
              </w:divBdr>
              <w:divsChild>
                <w:div w:id="644314172">
                  <w:marLeft w:val="2928"/>
                  <w:marRight w:val="0"/>
                  <w:marTop w:val="672"/>
                  <w:marBottom w:val="0"/>
                  <w:divBdr>
                    <w:top w:val="single" w:sz="4" w:space="0" w:color="AAAAAA"/>
                    <w:left w:val="single" w:sz="4" w:space="12" w:color="AAAAAA"/>
                    <w:bottom w:val="single" w:sz="4" w:space="18" w:color="AAAAAA"/>
                    <w:right w:val="none" w:sz="0" w:space="0" w:color="auto"/>
                  </w:divBdr>
                  <w:divsChild>
                    <w:div w:id="1389187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5006772">
      <w:bodyDiv w:val="1"/>
      <w:marLeft w:val="0"/>
      <w:marRight w:val="0"/>
      <w:marTop w:val="0"/>
      <w:marBottom w:val="0"/>
      <w:divBdr>
        <w:top w:val="none" w:sz="0" w:space="0" w:color="auto"/>
        <w:left w:val="none" w:sz="0" w:space="0" w:color="auto"/>
        <w:bottom w:val="none" w:sz="0" w:space="0" w:color="auto"/>
        <w:right w:val="none" w:sz="0" w:space="0" w:color="auto"/>
      </w:divBdr>
    </w:div>
    <w:div w:id="18758500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117" Type="http://schemas.openxmlformats.org/officeDocument/2006/relationships/hyperlink" Target="http://www.cptechcenter.org/publications/imcp/index.cfm" TargetMode="External"/><Relationship Id="rId21" Type="http://schemas.openxmlformats.org/officeDocument/2006/relationships/image" Target="media/image12.jpeg"/><Relationship Id="rId42" Type="http://schemas.openxmlformats.org/officeDocument/2006/relationships/image" Target="media/image20.jpeg"/><Relationship Id="rId47" Type="http://schemas.openxmlformats.org/officeDocument/2006/relationships/hyperlink" Target="http://onlinepubs.trb.org/onlinepubs/nchrp/nchrp_rpt_673.pdf" TargetMode="External"/><Relationship Id="rId63" Type="http://schemas.openxmlformats.org/officeDocument/2006/relationships/header" Target="header6.xml"/><Relationship Id="rId68" Type="http://schemas.openxmlformats.org/officeDocument/2006/relationships/header" Target="header7.xml"/><Relationship Id="rId84" Type="http://schemas.openxmlformats.org/officeDocument/2006/relationships/image" Target="media/image35.jpeg"/><Relationship Id="rId89" Type="http://schemas.openxmlformats.org/officeDocument/2006/relationships/image" Target="media/image36.jpeg"/><Relationship Id="rId112" Type="http://schemas.openxmlformats.org/officeDocument/2006/relationships/image" Target="media/image47.jpeg"/><Relationship Id="rId133" Type="http://schemas.openxmlformats.org/officeDocument/2006/relationships/hyperlink" Target="http://onlinepubs.trb.org/onlinepubs/nchrp/nchrp_rpt_540.pdf" TargetMode="External"/><Relationship Id="rId138" Type="http://schemas.openxmlformats.org/officeDocument/2006/relationships/fontTable" Target="fontTable.xml"/><Relationship Id="rId16" Type="http://schemas.openxmlformats.org/officeDocument/2006/relationships/image" Target="media/image7.emf"/><Relationship Id="rId107" Type="http://schemas.openxmlformats.org/officeDocument/2006/relationships/hyperlink" Target="http://www.fhwa.dot.gov/pavement/concrete/asr/hif09001/hif09001.pdf" TargetMode="External"/><Relationship Id="rId11" Type="http://schemas.openxmlformats.org/officeDocument/2006/relationships/image" Target="media/image3.emf"/><Relationship Id="rId32" Type="http://schemas.openxmlformats.org/officeDocument/2006/relationships/image" Target="media/image18.emf"/><Relationship Id="rId37" Type="http://schemas.openxmlformats.org/officeDocument/2006/relationships/header" Target="header3.xml"/><Relationship Id="rId53" Type="http://schemas.openxmlformats.org/officeDocument/2006/relationships/hyperlink" Target="http://www.transnow.org/files/final-reports/TNW2011-10.pdf" TargetMode="External"/><Relationship Id="rId58" Type="http://schemas.openxmlformats.org/officeDocument/2006/relationships/hyperlink" Target="http://onlinepubs.trb.org/onlinepubs/nchrp/nchrp_rpt_673.pdf" TargetMode="External"/><Relationship Id="rId74" Type="http://schemas.openxmlformats.org/officeDocument/2006/relationships/image" Target="media/image26.emf"/><Relationship Id="rId79" Type="http://schemas.openxmlformats.org/officeDocument/2006/relationships/image" Target="media/image31.emf"/><Relationship Id="rId102" Type="http://schemas.openxmlformats.org/officeDocument/2006/relationships/image" Target="media/image42.jpeg"/><Relationship Id="rId123" Type="http://schemas.openxmlformats.org/officeDocument/2006/relationships/hyperlink" Target="http://www.fhwa.dot.gov/pavement/materials/pubs/hif11031/hif11031.pdf" TargetMode="External"/><Relationship Id="rId128" Type="http://schemas.openxmlformats.org/officeDocument/2006/relationships/hyperlink" Target="http://www.cptechcenter.org/publications/imcp/index.cfm" TargetMode="External"/><Relationship Id="rId5" Type="http://schemas.openxmlformats.org/officeDocument/2006/relationships/settings" Target="settings.xml"/><Relationship Id="rId90" Type="http://schemas.openxmlformats.org/officeDocument/2006/relationships/image" Target="media/image37.jpeg"/><Relationship Id="rId95" Type="http://schemas.openxmlformats.org/officeDocument/2006/relationships/hyperlink" Target="http://onlinepubs.trb.org/onlinepubs/nchrp/nchrp_rpt_540.pdf" TargetMode="External"/><Relationship Id="rId22" Type="http://schemas.openxmlformats.org/officeDocument/2006/relationships/image" Target="media/image13.jpeg"/><Relationship Id="rId27" Type="http://schemas.openxmlformats.org/officeDocument/2006/relationships/image" Target="media/image16.wmf"/><Relationship Id="rId43" Type="http://schemas.openxmlformats.org/officeDocument/2006/relationships/header" Target="header5.xml"/><Relationship Id="rId48" Type="http://schemas.openxmlformats.org/officeDocument/2006/relationships/hyperlink" Target="http://onlinepubs.trb.org/onlinepubs/nchrp/nchrp_rpt_673.pdf" TargetMode="External"/><Relationship Id="rId64" Type="http://schemas.openxmlformats.org/officeDocument/2006/relationships/footer" Target="footer6.xml"/><Relationship Id="rId69" Type="http://schemas.openxmlformats.org/officeDocument/2006/relationships/footer" Target="footer7.xml"/><Relationship Id="rId113" Type="http://schemas.openxmlformats.org/officeDocument/2006/relationships/hyperlink" Target="http://www.cptechcenter.org/publications/imcp/index.cfm" TargetMode="External"/><Relationship Id="rId118" Type="http://schemas.openxmlformats.org/officeDocument/2006/relationships/hyperlink" Target="http://www.cptechcenter.org/publications/imcp/index.cfm" TargetMode="External"/><Relationship Id="rId134" Type="http://schemas.openxmlformats.org/officeDocument/2006/relationships/hyperlink" Target="http://onlinepubs.trb.org/onlinepubs/nchrp/nchrp_rpt_580.pdf" TargetMode="External"/><Relationship Id="rId13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onlinepubs.trb.org/onlinepubs/nchrp/nchrp_rpt_673.pdf" TargetMode="External"/><Relationship Id="rId72" Type="http://schemas.openxmlformats.org/officeDocument/2006/relationships/hyperlink" Target="http://www.cement.ca/images/stories/plc_bkgndr-_eng-_sept._1_2009.pdf" TargetMode="External"/><Relationship Id="rId80" Type="http://schemas.openxmlformats.org/officeDocument/2006/relationships/image" Target="media/image32.emf"/><Relationship Id="rId85" Type="http://schemas.openxmlformats.org/officeDocument/2006/relationships/hyperlink" Target="http://www.cptechcenter.org/publications/imcp/index.cfm" TargetMode="External"/><Relationship Id="rId93" Type="http://schemas.openxmlformats.org/officeDocument/2006/relationships/hyperlink" Target="http://www.cptechcenter.org/publications/imcp/index.cfm" TargetMode="External"/><Relationship Id="rId98" Type="http://schemas.openxmlformats.org/officeDocument/2006/relationships/image" Target="media/image40.jpeg"/><Relationship Id="rId121" Type="http://schemas.openxmlformats.org/officeDocument/2006/relationships/hyperlink" Target="http://onlinepubs.trb.org/onlinepubs/nchrp/nchrp_rpt_513.pdf" TargetMode="External"/><Relationship Id="rId3" Type="http://schemas.openxmlformats.org/officeDocument/2006/relationships/styles" Target="styles.xml"/><Relationship Id="rId12" Type="http://schemas.openxmlformats.org/officeDocument/2006/relationships/hyperlink" Target="http://ntl.bts.gov/lib/34000/34000/34083/FHWA-RD-77-154.pdf" TargetMode="External"/><Relationship Id="rId17" Type="http://schemas.openxmlformats.org/officeDocument/2006/relationships/image" Target="media/image8.jpeg"/><Relationship Id="rId25" Type="http://schemas.openxmlformats.org/officeDocument/2006/relationships/image" Target="media/image15.wmf"/><Relationship Id="rId33" Type="http://schemas.openxmlformats.org/officeDocument/2006/relationships/header" Target="header1.xml"/><Relationship Id="rId38" Type="http://schemas.openxmlformats.org/officeDocument/2006/relationships/footer" Target="footer3.xml"/><Relationship Id="rId46" Type="http://schemas.openxmlformats.org/officeDocument/2006/relationships/hyperlink" Target="http://onlinepubs.trb.org/onlinepubs/nchrp/nchrp_rpt_673.pdf" TargetMode="External"/><Relationship Id="rId59" Type="http://schemas.openxmlformats.org/officeDocument/2006/relationships/image" Target="media/image23.png"/><Relationship Id="rId67" Type="http://schemas.openxmlformats.org/officeDocument/2006/relationships/hyperlink" Target="http://members.cement.org/ebiz50/ProductCatalog/Product.aspx?ID=245" TargetMode="External"/><Relationship Id="rId103" Type="http://schemas.openxmlformats.org/officeDocument/2006/relationships/image" Target="cid:image012.jpg@01CBDCB5.AE0FBF50" TargetMode="External"/><Relationship Id="rId108" Type="http://schemas.openxmlformats.org/officeDocument/2006/relationships/image" Target="media/image44.png"/><Relationship Id="rId116" Type="http://schemas.openxmlformats.org/officeDocument/2006/relationships/hyperlink" Target="http://www.cptechcenter.org/publications/imcp/index.cfm" TargetMode="External"/><Relationship Id="rId124" Type="http://schemas.openxmlformats.org/officeDocument/2006/relationships/hyperlink" Target="http://ntl.bts.gov/lib/34000/34000/34083/FHWA-RD-77-154.pdf" TargetMode="External"/><Relationship Id="rId129" Type="http://schemas.openxmlformats.org/officeDocument/2006/relationships/hyperlink" Target="http://www.fhwa.dot.gov/pavement/concrete/asr/hif09001/hif09001.pdf" TargetMode="External"/><Relationship Id="rId137" Type="http://schemas.openxmlformats.org/officeDocument/2006/relationships/footer" Target="footer8.xml"/><Relationship Id="rId20" Type="http://schemas.openxmlformats.org/officeDocument/2006/relationships/image" Target="media/image11.jpeg"/><Relationship Id="rId41" Type="http://schemas.openxmlformats.org/officeDocument/2006/relationships/footer" Target="footer4.xml"/><Relationship Id="rId54" Type="http://schemas.openxmlformats.org/officeDocument/2006/relationships/image" Target="media/image22.png"/><Relationship Id="rId62" Type="http://schemas.openxmlformats.org/officeDocument/2006/relationships/image" Target="media/image24.png"/><Relationship Id="rId70" Type="http://schemas.openxmlformats.org/officeDocument/2006/relationships/hyperlink" Target="http://www.cptechcenter.org/publications/imcp/index.cfm" TargetMode="External"/><Relationship Id="rId75" Type="http://schemas.openxmlformats.org/officeDocument/2006/relationships/image" Target="media/image27.emf"/><Relationship Id="rId83" Type="http://schemas.openxmlformats.org/officeDocument/2006/relationships/hyperlink" Target="http://www.cptechcenter.org/publications/imcp/index.cfm" TargetMode="External"/><Relationship Id="rId88" Type="http://schemas.openxmlformats.org/officeDocument/2006/relationships/hyperlink" Target="http://www.fhwa.dot.gov/pavement/concrete/asr/hif09001/hif09001.pdf" TargetMode="External"/><Relationship Id="rId91" Type="http://schemas.openxmlformats.org/officeDocument/2006/relationships/image" Target="media/image38.tiff"/><Relationship Id="rId96" Type="http://schemas.openxmlformats.org/officeDocument/2006/relationships/hyperlink" Target="http://www.cproadmap.org/publications/sustainability_briefing.pdf" TargetMode="External"/><Relationship Id="rId111" Type="http://schemas.openxmlformats.org/officeDocument/2006/relationships/image" Target="media/image46.emf"/><Relationship Id="rId132" Type="http://schemas.openxmlformats.org/officeDocument/2006/relationships/hyperlink" Target="http://www.cproadmap.org/publications/sustainability_briefing.pdf"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wmf"/><Relationship Id="rId23" Type="http://schemas.openxmlformats.org/officeDocument/2006/relationships/image" Target="media/image14.jpeg"/><Relationship Id="rId28" Type="http://schemas.openxmlformats.org/officeDocument/2006/relationships/oleObject" Target="embeddings/oleObject2.bin"/><Relationship Id="rId36" Type="http://schemas.openxmlformats.org/officeDocument/2006/relationships/footer" Target="footer2.xml"/><Relationship Id="rId49" Type="http://schemas.openxmlformats.org/officeDocument/2006/relationships/hyperlink" Target="http://onlinepubs.trb.org/onlinepubs/nchrp/nchrp_rpt_513.pdf" TargetMode="External"/><Relationship Id="rId57" Type="http://schemas.openxmlformats.org/officeDocument/2006/relationships/hyperlink" Target="http://onlinepubs.trb.org/onlinepubs/nchrp/nchrp_rpt_673.pdf" TargetMode="External"/><Relationship Id="rId106" Type="http://schemas.openxmlformats.org/officeDocument/2006/relationships/hyperlink" Target="http://www.fhwa.dot.gov/pavement/concrete/asr/hif09001/hif09001.pdf" TargetMode="External"/><Relationship Id="rId114" Type="http://schemas.openxmlformats.org/officeDocument/2006/relationships/image" Target="media/image48.jpeg"/><Relationship Id="rId119" Type="http://schemas.openxmlformats.org/officeDocument/2006/relationships/image" Target="media/image50.emf"/><Relationship Id="rId127" Type="http://schemas.openxmlformats.org/officeDocument/2006/relationships/hyperlink" Target="http://en.wikipedia.org/wiki/File:Concrete_Compression_Testing.jpg" TargetMode="External"/><Relationship Id="rId10" Type="http://schemas.openxmlformats.org/officeDocument/2006/relationships/image" Target="media/image2.emf"/><Relationship Id="rId31" Type="http://schemas.openxmlformats.org/officeDocument/2006/relationships/oleObject" Target="embeddings/oleObject4.bin"/><Relationship Id="rId44" Type="http://schemas.openxmlformats.org/officeDocument/2006/relationships/footer" Target="footer5.xml"/><Relationship Id="rId52" Type="http://schemas.openxmlformats.org/officeDocument/2006/relationships/image" Target="media/image21.jpeg"/><Relationship Id="rId60" Type="http://schemas.openxmlformats.org/officeDocument/2006/relationships/hyperlink" Target="http://onlinepubs.trb.org/onlinepubs/nchrp/nchrp_rpt_673.pdf" TargetMode="External"/><Relationship Id="rId65" Type="http://schemas.openxmlformats.org/officeDocument/2006/relationships/image" Target="media/image25.emf"/><Relationship Id="rId73" Type="http://schemas.openxmlformats.org/officeDocument/2006/relationships/hyperlink" Target="http://www.cement.ca/images/stories/plc_bkgndr-_eng-_sept._1_2009.pdf" TargetMode="External"/><Relationship Id="rId78" Type="http://schemas.openxmlformats.org/officeDocument/2006/relationships/image" Target="media/image30.emf"/><Relationship Id="rId81" Type="http://schemas.openxmlformats.org/officeDocument/2006/relationships/image" Target="media/image33.emf"/><Relationship Id="rId86" Type="http://schemas.openxmlformats.org/officeDocument/2006/relationships/hyperlink" Target="http://www.cptechcenter.org/publications/imcp/index.cfm" TargetMode="External"/><Relationship Id="rId94" Type="http://schemas.openxmlformats.org/officeDocument/2006/relationships/hyperlink" Target="http://www.cptechcenter.org/publications/imcp/index.cfm" TargetMode="External"/><Relationship Id="rId99" Type="http://schemas.openxmlformats.org/officeDocument/2006/relationships/image" Target="cid:image009.jpg@01CBDCB5.AE0FBF50" TargetMode="External"/><Relationship Id="rId101" Type="http://schemas.openxmlformats.org/officeDocument/2006/relationships/image" Target="cid:image011.jpg@01CBDCB5.AE0FBF50" TargetMode="External"/><Relationship Id="rId122" Type="http://schemas.openxmlformats.org/officeDocument/2006/relationships/hyperlink" Target="http://www.cement.ca/images/stories/plc_bkgndr-_eng-_sept._1_2009.pdf" TargetMode="External"/><Relationship Id="rId130" Type="http://schemas.openxmlformats.org/officeDocument/2006/relationships/hyperlink" Target="http://civilx.unm.edu/laboratories_ss/pcc/splittensile.html" TargetMode="External"/><Relationship Id="rId135" Type="http://schemas.openxmlformats.org/officeDocument/2006/relationships/hyperlink" Target="http://www.transnow.org/files/final-reports/TNW2011-10.pdf" TargetMode="Externa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image" Target="media/image4.emf"/><Relationship Id="rId18" Type="http://schemas.openxmlformats.org/officeDocument/2006/relationships/image" Target="media/image9.jpeg"/><Relationship Id="rId39" Type="http://schemas.openxmlformats.org/officeDocument/2006/relationships/image" Target="media/image19.jpeg"/><Relationship Id="rId109" Type="http://schemas.openxmlformats.org/officeDocument/2006/relationships/image" Target="media/image45.emf"/><Relationship Id="rId34" Type="http://schemas.openxmlformats.org/officeDocument/2006/relationships/header" Target="header2.xml"/><Relationship Id="rId50" Type="http://schemas.openxmlformats.org/officeDocument/2006/relationships/hyperlink" Target="http://onlinepubs.trb.org/onlinepubs/nchrp/nchrp_rpt_580.pdf" TargetMode="External"/><Relationship Id="rId55" Type="http://schemas.openxmlformats.org/officeDocument/2006/relationships/hyperlink" Target="http://onlinepubs.trb.org/onlinepubs/nchrp/nchrp_rpt_673.pdf" TargetMode="External"/><Relationship Id="rId76" Type="http://schemas.openxmlformats.org/officeDocument/2006/relationships/image" Target="media/image28.emf"/><Relationship Id="rId97" Type="http://schemas.openxmlformats.org/officeDocument/2006/relationships/hyperlink" Target="http://www.cement.org/pavements/pv_rcc.asp" TargetMode="External"/><Relationship Id="rId104" Type="http://schemas.openxmlformats.org/officeDocument/2006/relationships/image" Target="media/image43.jpeg"/><Relationship Id="rId120" Type="http://schemas.openxmlformats.org/officeDocument/2006/relationships/hyperlink" Target="http://onlinepubs.trb.org/onlinepubs/nchrp/nchrp_rpt_673.pdf" TargetMode="External"/><Relationship Id="rId125" Type="http://schemas.openxmlformats.org/officeDocument/2006/relationships/hyperlink" Target="http://en.wikipedia.org/wiki/File:Pebbleswithquarzite.jpg" TargetMode="External"/><Relationship Id="rId7" Type="http://schemas.openxmlformats.org/officeDocument/2006/relationships/footnotes" Target="footnotes.xml"/><Relationship Id="rId71" Type="http://schemas.openxmlformats.org/officeDocument/2006/relationships/hyperlink" Target="http://www.astm.org/DATABASE.CART/PAGES/C1157.htm" TargetMode="External"/><Relationship Id="rId92" Type="http://schemas.openxmlformats.org/officeDocument/2006/relationships/image" Target="media/image39.emf"/><Relationship Id="rId2" Type="http://schemas.openxmlformats.org/officeDocument/2006/relationships/numbering" Target="numbering.xml"/><Relationship Id="rId29" Type="http://schemas.openxmlformats.org/officeDocument/2006/relationships/oleObject" Target="embeddings/oleObject3.bin"/><Relationship Id="rId24" Type="http://schemas.openxmlformats.org/officeDocument/2006/relationships/hyperlink" Target="http://www.recycledmaterials.org/" TargetMode="External"/><Relationship Id="rId40" Type="http://schemas.openxmlformats.org/officeDocument/2006/relationships/header" Target="header4.xml"/><Relationship Id="rId45" Type="http://schemas.openxmlformats.org/officeDocument/2006/relationships/hyperlink" Target="http://onlinepubs.trb.org/onlinepubs/nchrp/nchrp_rpt_673.pdf" TargetMode="External"/><Relationship Id="rId66" Type="http://schemas.openxmlformats.org/officeDocument/2006/relationships/hyperlink" Target="http://members.cement.org/ebiz50/ProductCatalog/Product.aspx?ID=245" TargetMode="External"/><Relationship Id="rId87" Type="http://schemas.openxmlformats.org/officeDocument/2006/relationships/hyperlink" Target="http://www.cptechcenter.org/publications/imcp/index.cfm" TargetMode="External"/><Relationship Id="rId110" Type="http://schemas.openxmlformats.org/officeDocument/2006/relationships/hyperlink" Target="http://members.cement.org/ebiz50/ProductCatalog/Product.aspx?ID=245" TargetMode="External"/><Relationship Id="rId115" Type="http://schemas.openxmlformats.org/officeDocument/2006/relationships/image" Target="media/image49.emf"/><Relationship Id="rId131" Type="http://schemas.openxmlformats.org/officeDocument/2006/relationships/hyperlink" Target="http://civilx.unm.edu/laboratories_ss/pcc/flexural.htm" TargetMode="External"/><Relationship Id="rId136" Type="http://schemas.openxmlformats.org/officeDocument/2006/relationships/header" Target="header8.xml"/><Relationship Id="rId61" Type="http://schemas.openxmlformats.org/officeDocument/2006/relationships/hyperlink" Target="http://members.cement.org/ebiz50/ProductCatalog/Product.aspx?ID=245" TargetMode="External"/><Relationship Id="rId82" Type="http://schemas.openxmlformats.org/officeDocument/2006/relationships/image" Target="media/image34.jpeg"/><Relationship Id="rId19" Type="http://schemas.openxmlformats.org/officeDocument/2006/relationships/image" Target="media/image10.jpeg"/><Relationship Id="rId14" Type="http://schemas.openxmlformats.org/officeDocument/2006/relationships/image" Target="media/image5.emf"/><Relationship Id="rId30" Type="http://schemas.openxmlformats.org/officeDocument/2006/relationships/image" Target="media/image17.wmf"/><Relationship Id="rId35" Type="http://schemas.openxmlformats.org/officeDocument/2006/relationships/footer" Target="footer1.xml"/><Relationship Id="rId56" Type="http://schemas.openxmlformats.org/officeDocument/2006/relationships/hyperlink" Target="http://onlinepubs.trb.org/onlinepubs/nchrp/nchrp_rpt_673.pdf" TargetMode="External"/><Relationship Id="rId77" Type="http://schemas.openxmlformats.org/officeDocument/2006/relationships/image" Target="media/image29.emf"/><Relationship Id="rId100" Type="http://schemas.openxmlformats.org/officeDocument/2006/relationships/image" Target="media/image41.jpeg"/><Relationship Id="rId105" Type="http://schemas.openxmlformats.org/officeDocument/2006/relationships/hyperlink" Target="http://www.fhwa.dot.gov/pavement/concrete/asr/hif09001/hif09001.pdf" TargetMode="External"/><Relationship Id="rId126" Type="http://schemas.openxmlformats.org/officeDocument/2006/relationships/hyperlink" Target="http://www.utexas.edu/research/superpave/articles/sp_grad1.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CBDAD0-F032-4BCF-85DF-EA773AB2B2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29150</Words>
  <Characters>166161</Characters>
  <Application>Microsoft Office Word</Application>
  <DocSecurity>0</DocSecurity>
  <Lines>1384</Lines>
  <Paragraphs>389</Paragraphs>
  <ScaleCrop>false</ScaleCrop>
  <HeadingPairs>
    <vt:vector size="2" baseType="variant">
      <vt:variant>
        <vt:lpstr>Title</vt:lpstr>
      </vt:variant>
      <vt:variant>
        <vt:i4>1</vt:i4>
      </vt:variant>
    </vt:vector>
  </HeadingPairs>
  <TitlesOfParts>
    <vt:vector size="1" baseType="lpstr">
      <vt:lpstr>This is your reminder that block paragraphs are used</vt:lpstr>
    </vt:vector>
  </TitlesOfParts>
  <Company>In Spec Machining Specialists</Company>
  <LinksUpToDate>false</LinksUpToDate>
  <CharactersWithSpaces>194922</CharactersWithSpaces>
  <SharedDoc>false</SharedDoc>
  <HLinks>
    <vt:vector size="18" baseType="variant">
      <vt:variant>
        <vt:i4>5046297</vt:i4>
      </vt:variant>
      <vt:variant>
        <vt:i4>39</vt:i4>
      </vt:variant>
      <vt:variant>
        <vt:i4>0</vt:i4>
      </vt:variant>
      <vt:variant>
        <vt:i4>5</vt:i4>
      </vt:variant>
      <vt:variant>
        <vt:lpwstr>http://www.recycledmaterials.org/</vt:lpwstr>
      </vt:variant>
      <vt:variant>
        <vt:lpwstr/>
      </vt:variant>
      <vt:variant>
        <vt:i4>7340155</vt:i4>
      </vt:variant>
      <vt:variant>
        <vt:i4>12</vt:i4>
      </vt:variant>
      <vt:variant>
        <vt:i4>0</vt:i4>
      </vt:variant>
      <vt:variant>
        <vt:i4>5</vt:i4>
      </vt:variant>
      <vt:variant>
        <vt:lpwstr>http://upload.wikimedia.org/wikipedia/commons/7/77/Pebbleswithquarzite.jpg</vt:lpwstr>
      </vt:variant>
      <vt:variant>
        <vt:lpwstr/>
      </vt:variant>
      <vt:variant>
        <vt:i4>7274583</vt:i4>
      </vt:variant>
      <vt:variant>
        <vt:i4>0</vt:i4>
      </vt:variant>
      <vt:variant>
        <vt:i4>0</vt:i4>
      </vt:variant>
      <vt:variant>
        <vt:i4>5</vt:i4>
      </vt:variant>
      <vt:variant>
        <vt:lpwstr>http://www.tpub.com/content/engine/14080/css/14080_127.htm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This is your reminder that block paragraphs are used</dc:title>
  <dc:creator>Schofield Vicki</dc:creator>
  <cp:lastModifiedBy>Schofield Vicki</cp:lastModifiedBy>
  <cp:revision>2</cp:revision>
  <cp:lastPrinted>2014-04-07T13:24:00Z</cp:lastPrinted>
  <dcterms:created xsi:type="dcterms:W3CDTF">2014-07-16T12:08:00Z</dcterms:created>
  <dcterms:modified xsi:type="dcterms:W3CDTF">2014-07-16T12:08:00Z</dcterms:modified>
</cp:coreProperties>
</file>